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DF" w:rsidRPr="00E55EDF" w:rsidRDefault="00E55EDF" w:rsidP="001E1DD4">
      <w:pPr>
        <w:widowControl/>
        <w:ind w:firstLineChars="395" w:firstLine="1738"/>
        <w:rPr>
          <w:rFonts w:ascii="方正小标宋简体" w:eastAsia="方正小标宋简体" w:hAnsi="宋体" w:hint="eastAsia"/>
          <w:sz w:val="44"/>
          <w:szCs w:val="44"/>
        </w:rPr>
      </w:pPr>
      <w:bookmarkStart w:id="0" w:name="_Toc50627680"/>
      <w:bookmarkStart w:id="1" w:name="_Toc50627505"/>
      <w:r w:rsidRPr="00E55EDF">
        <w:rPr>
          <w:rFonts w:ascii="方正小标宋简体" w:eastAsia="方正小标宋简体" w:hAnsi="宋体" w:hint="eastAsia"/>
          <w:sz w:val="44"/>
          <w:szCs w:val="44"/>
        </w:rPr>
        <w:t>远程医学会诊系统技术要求</w:t>
      </w:r>
    </w:p>
    <w:p w:rsidR="00E55EDF" w:rsidRPr="00E55EDF" w:rsidRDefault="00E55EDF" w:rsidP="001E1DD4">
      <w:pPr>
        <w:widowControl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E55EDF">
        <w:rPr>
          <w:rFonts w:ascii="黑体" w:eastAsia="黑体" w:hAnsi="黑体" w:hint="eastAsia"/>
          <w:sz w:val="32"/>
          <w:szCs w:val="32"/>
        </w:rPr>
        <w:t>一、项目背景</w:t>
      </w:r>
      <w:bookmarkEnd w:id="0"/>
      <w:bookmarkEnd w:id="1"/>
    </w:p>
    <w:p w:rsidR="00E55EDF" w:rsidRPr="00E55EDF" w:rsidRDefault="00E55EDF" w:rsidP="001E1DD4">
      <w:pPr>
        <w:widowControl/>
        <w:spacing w:line="560" w:lineRule="exact"/>
        <w:ind w:firstLineChars="196" w:firstLine="627"/>
        <w:rPr>
          <w:rFonts w:ascii="仿宋_GB2312" w:eastAsia="仿宋_GB2312" w:hAnsi="黑体" w:hint="eastAsia"/>
          <w:sz w:val="32"/>
          <w:szCs w:val="32"/>
        </w:rPr>
      </w:pPr>
      <w:bookmarkStart w:id="2" w:name="_Toc32136"/>
      <w:bookmarkStart w:id="3" w:name="_Toc50623672"/>
      <w:bookmarkStart w:id="4" w:name="_Toc50626546"/>
      <w:bookmarkStart w:id="5" w:name="_Toc50627681"/>
      <w:bookmarkStart w:id="6" w:name="_Toc50627506"/>
      <w:bookmarkStart w:id="7" w:name="_Toc50627215"/>
      <w:r w:rsidRPr="00E55EDF">
        <w:rPr>
          <w:rFonts w:ascii="仿宋_GB2312" w:eastAsia="仿宋_GB2312" w:hAnsi="黑体" w:hint="eastAsia"/>
          <w:sz w:val="32"/>
          <w:szCs w:val="32"/>
        </w:rPr>
        <w:t>全军远程医学会诊系统采用卫星通信方式构建，覆盖全军各级医疗机构，可以满足全军卫生系统开展远程会诊、卫生应急指挥、视频会议、远程教育、信息共享等综合应用需要。</w:t>
      </w:r>
    </w:p>
    <w:p w:rsidR="00E55EDF" w:rsidRPr="00E55EDF" w:rsidRDefault="00E55EDF" w:rsidP="001E1DD4">
      <w:pPr>
        <w:widowControl/>
        <w:spacing w:line="560" w:lineRule="exact"/>
        <w:ind w:firstLineChars="196" w:firstLine="627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该系统于2004年建设投入使用，2010年进行全军高清升级，该套系统部分设备于2004年配发使用至今已有17余年，设备严重老化，其中卫星功放设备因年久已出现故障，其余相关设备目前使用状态不稳定。为改善系统的整体性能，降低故障率，需采购部分设备进行更换或作为备件使用。</w:t>
      </w:r>
    </w:p>
    <w:p w:rsidR="00E55EDF" w:rsidRPr="00E55EDF" w:rsidRDefault="00E55EDF" w:rsidP="001E1DD4">
      <w:pPr>
        <w:widowControl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E55EDF">
        <w:rPr>
          <w:rFonts w:ascii="黑体" w:eastAsia="黑体" w:hAnsi="黑体" w:hint="eastAsia"/>
          <w:sz w:val="32"/>
          <w:szCs w:val="32"/>
        </w:rPr>
        <w:t>二、项目总体要求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（一）因室外功率放大器损坏，需更换室外功率放大器，并对该设备进行安装与调试，进行远程医学会诊系统的整体联调，测试与其他入网医院互联互通。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（二）SCPC调制解调器、RCST调制解调器、分合路器、交换机、串口服务器等设备作为备用设备进行调试，随时可调换使用，对该系统原有的设备进行除尘及日常维护，测试与其他入网医院互联互通。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二）中标人所提供产品需提供36个月质保期，并提供7*24小时无间断服务支持。若投标人在产品使用过程中遇到任何问题，可在任意时刻通过电话、电子邮件等方式联络中标人。紧急问题电话联系中标人，中标人立刻响应处理；非</w:t>
      </w:r>
      <w:bookmarkStart w:id="8" w:name="_GoBack"/>
      <w:bookmarkEnd w:id="8"/>
      <w:r w:rsidRPr="00E55EDF">
        <w:rPr>
          <w:rFonts w:ascii="仿宋_GB2312" w:eastAsia="仿宋_GB2312" w:hAnsi="黑体" w:hint="eastAsia"/>
          <w:sz w:val="32"/>
          <w:szCs w:val="32"/>
        </w:rPr>
        <w:t>紧急问题，甲乙双方沟通交流，确定解决方案，通常解决</w:t>
      </w: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实际不超过3个工作日。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（三）服务期间，若因中标人硬件自身原因引起故障，并在通过电话、网络远程无法解决的情况下，中标人保证在48小时内到达现场解决问题，由此产生的费用由中标人自行负责。</w:t>
      </w:r>
    </w:p>
    <w:p w:rsidR="00E55EDF" w:rsidRPr="00E55EDF" w:rsidRDefault="001E1DD4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（四）标准符合性要求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</w:t>
      </w:r>
      <w:r w:rsidR="001E1DD4">
        <w:rPr>
          <w:rFonts w:ascii="仿宋_GB2312" w:eastAsia="仿宋_GB2312" w:hAnsi="黑体" w:hint="eastAsia"/>
          <w:sz w:val="32"/>
          <w:szCs w:val="32"/>
        </w:rPr>
        <w:t>.</w:t>
      </w:r>
      <w:r w:rsidRPr="00E55EDF">
        <w:rPr>
          <w:rFonts w:ascii="仿宋_GB2312" w:eastAsia="仿宋_GB2312" w:hAnsi="黑体" w:hint="eastAsia"/>
          <w:sz w:val="32"/>
          <w:szCs w:val="32"/>
        </w:rPr>
        <w:t>接入全军远程医学信息网</w:t>
      </w:r>
    </w:p>
    <w:p w:rsidR="00E55EDF" w:rsidRPr="00E55EDF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</w:t>
      </w:r>
      <w:r w:rsidR="001E1DD4">
        <w:rPr>
          <w:rFonts w:ascii="仿宋_GB2312" w:eastAsia="仿宋_GB2312" w:hAnsi="黑体" w:hint="eastAsia"/>
          <w:sz w:val="32"/>
          <w:szCs w:val="32"/>
        </w:rPr>
        <w:t>.</w:t>
      </w:r>
      <w:r w:rsidRPr="00E55EDF">
        <w:rPr>
          <w:rFonts w:ascii="仿宋_GB2312" w:eastAsia="仿宋_GB2312" w:hAnsi="黑体" w:hint="eastAsia"/>
          <w:sz w:val="32"/>
          <w:szCs w:val="32"/>
        </w:rPr>
        <w:t>与全军远程医学信息网入网医院进行互联互通</w:t>
      </w:r>
    </w:p>
    <w:p w:rsidR="00E55EDF" w:rsidRPr="00E55EDF" w:rsidRDefault="00E55EDF" w:rsidP="001E1DD4">
      <w:pPr>
        <w:widowControl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E55EDF">
        <w:rPr>
          <w:rFonts w:ascii="黑体" w:eastAsia="黑体" w:hAnsi="黑体" w:hint="eastAsia"/>
          <w:sz w:val="32"/>
          <w:szCs w:val="32"/>
        </w:rPr>
        <w:t>三、项目</w:t>
      </w:r>
      <w:bookmarkEnd w:id="4"/>
      <w:bookmarkEnd w:id="5"/>
      <w:bookmarkEnd w:id="6"/>
      <w:bookmarkEnd w:id="7"/>
      <w:r w:rsidRPr="00E55EDF">
        <w:rPr>
          <w:rFonts w:ascii="黑体" w:eastAsia="黑体" w:hAnsi="黑体" w:hint="eastAsia"/>
          <w:sz w:val="32"/>
          <w:szCs w:val="32"/>
        </w:rPr>
        <w:t>技术参数及要求</w:t>
      </w:r>
    </w:p>
    <w:tbl>
      <w:tblPr>
        <w:tblStyle w:val="a5"/>
        <w:tblW w:w="0" w:type="auto"/>
        <w:tblInd w:w="392" w:type="dxa"/>
        <w:tblLook w:val="04A0"/>
      </w:tblPr>
      <w:tblGrid>
        <w:gridCol w:w="1417"/>
        <w:gridCol w:w="3402"/>
        <w:gridCol w:w="1560"/>
        <w:gridCol w:w="1417"/>
      </w:tblGrid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55EDF"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55EDF">
              <w:rPr>
                <w:rFonts w:ascii="黑体" w:eastAsia="黑体" w:hAnsi="黑体" w:hint="eastAsia"/>
                <w:bCs/>
                <w:sz w:val="28"/>
                <w:szCs w:val="28"/>
              </w:rPr>
              <w:t>设备名称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55EDF"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55EDF">
              <w:rPr>
                <w:rFonts w:ascii="黑体" w:eastAsia="黑体" w:hAnsi="黑体" w:hint="eastAsia"/>
                <w:bCs/>
                <w:sz w:val="28"/>
                <w:szCs w:val="28"/>
              </w:rPr>
              <w:t>数量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E55EDF">
              <w:rPr>
                <w:rFonts w:ascii="仿宋_GB2312" w:eastAsia="仿宋_GB2312" w:hAnsi="黑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室外功率放大器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E55EDF">
              <w:rPr>
                <w:rFonts w:ascii="仿宋_GB2312" w:eastAsia="仿宋_GB2312" w:hAnsi="黑体" w:hint="eastAsia"/>
                <w:bCs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E55EDF">
              <w:rPr>
                <w:rFonts w:ascii="仿宋_GB2312" w:eastAsia="仿宋_GB2312" w:hAnsi="黑体" w:hint="eastAsia"/>
                <w:bCs/>
                <w:sz w:val="28"/>
                <w:szCs w:val="28"/>
              </w:rPr>
              <w:t>1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SCPC调制解调器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1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RCST调制解调器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1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分合路器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2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交换机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2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串口服务器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1</w:t>
            </w:r>
          </w:p>
        </w:tc>
      </w:tr>
      <w:tr w:rsidR="00E55EDF" w:rsidTr="001E1DD4">
        <w:trPr>
          <w:trHeight w:val="680"/>
        </w:trPr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设备安装调试</w:t>
            </w:r>
          </w:p>
        </w:tc>
        <w:tc>
          <w:tcPr>
            <w:tcW w:w="1560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项</w:t>
            </w:r>
          </w:p>
        </w:tc>
        <w:tc>
          <w:tcPr>
            <w:tcW w:w="1417" w:type="dxa"/>
            <w:vAlign w:val="center"/>
          </w:tcPr>
          <w:p w:rsidR="00E55EDF" w:rsidRPr="00E55EDF" w:rsidRDefault="00E55EDF" w:rsidP="001E1DD4">
            <w:pPr>
              <w:spacing w:line="560" w:lineRule="exact"/>
              <w:jc w:val="center"/>
              <w:outlineLvl w:val="0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E55EDF">
              <w:rPr>
                <w:rFonts w:ascii="仿宋_GB2312" w:eastAsia="仿宋_GB2312" w:hAnsi="黑体" w:cs="黑体" w:hint="eastAsia"/>
                <w:sz w:val="28"/>
                <w:szCs w:val="28"/>
              </w:rPr>
              <w:t>1</w:t>
            </w:r>
          </w:p>
        </w:tc>
      </w:tr>
    </w:tbl>
    <w:p w:rsidR="00E55EDF" w:rsidRPr="001E1DD4" w:rsidRDefault="00E55EDF" w:rsidP="001E1DD4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（一）室外功率放大器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1.基本要求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（1）投标产品具备国产自主知识产权，其生产单位为国内企业，其法人、或控股股东不得为境外人员；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（2）具有工业和信息化部无线电发射设备型号核准证；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（3）具有远程监控，兼容功率放大器通信协议；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2.性能指标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（1）输入频率范围：满足950MHz～1450MHz；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（2）输出频率范围：满足14.00GHz～14.50GHz；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（3）输出功率（P1dB功率或额定功率）：≥42dBm；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（4）增益：≥62dB；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（5）增益调整范围：20dB（1dB步进）；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（6）增益平坦度：≤3dB（任意500MHz）、≤1.2dB（任意40MHz）、≤3dB（增益随温度变化）；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（7）输出驻波比：≤ 1.5:1；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（8）三阶交调：≤-25dBc（两相等载波总输出功率@ 39dBm）；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（9）杂散：≤-55 dBc；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（10）噪声相位：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≤-63 dBc/Hz @100 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≤-73 dBc/Hz @1 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≤-83 dBc/Hz @10 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≤-93 dBc/Hz @100 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（11）噪声功率谱密度（NPD）：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≤-76dBm/Hz（14.00GHz～14.50GHz）；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≤-151dBW/Hz（12.25GHz～12.75GHz）；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（12）电源供电：内置AC、220V交流；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（13）监控方式：RS-422；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（14）中频输入接口：N型（英制阴头）；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（15）射频输出接口：WR 75；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（16）工作温度：-40℃～﹢60℃；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（二）SCPC调制解调器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.</w:t>
      </w:r>
      <w:r w:rsidRPr="00E55EDF">
        <w:rPr>
          <w:rFonts w:ascii="仿宋_GB2312" w:eastAsia="仿宋_GB2312" w:hAnsi="黑体" w:hint="eastAsia"/>
          <w:sz w:val="32"/>
          <w:szCs w:val="32"/>
        </w:rPr>
        <w:t>基本要求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（1）投标产品具备自主知识产权，调制解调软件代码能够编译、下载，且下载之后设备能够实现正常功能；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（2）支持网管远程监控，远程可对调制解调器主要参数进行设置与监控，兼容网管中心视频链路调制解调器通信协议要求；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（3）能够与现有所以入网医院Datum PSM系列调制解调设备以Viterbi 3/4（QPSK）、LDPC 3/4（8PSK）方式兼容互通；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（4）支持前面板查看、输入、修改调制解调器各项配置和参数，实时查看设备工作状态，显示界面上菜单深度不超过2级，方便远程指导端站操作。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2.性能指标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（1）信号模式：单路单载波（SCPC），单载波；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（2）发射频率调节范围：满足950MHz～1450MHz,1Hz步进；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（3）接收频率调节范围：满足950MHz～1450MHz,1Hz步进；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（4）数据速率：≥8Mbps，1bps步进；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（5）调制方式：QPSK,8PSK；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（6）编码方式：Viterbi 3/4（QPSK）,LDPC 3/4（8PSK）；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（7）扰码类型：INTELSAT；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（8）发射电平范围：0dBm～–45dBm，1dB 步进；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（9）发射接头阻抗：50Ω(英制N型)；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（10）输出相位噪声：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≤-60dBc/100Hz；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≤-70dBc/1kHz；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≤-80dBc/10kHz；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（11）接收载波输入电平：-20 dBm～-65 dBm；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（12）接收频偏范围：±500KHz；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（13）载波开/关隔离：≥60 dB；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（14）数据时钟源：内部、外部；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内部稳定度：优于1x10–8  OCXO；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外部参考：10MHz（-5dBm～+5dBm）；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（15）BUC供电：开关可选，24 VDC，≥70W；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BUC参考：开关可选，10MHz（-5 dBm～+5dBm）；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（16）接收接头阻抗 75Ω（英制F型）；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（17）LNB供电：开关可选，13V or 18V可选；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LNB参考：开关可选，10MHz（-5dBm～+5dBm）；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（18）数据接口：Ethernet IP 10/100 Base-T；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（19）IP工作模式：路由or桥接可选；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（20）IP包过滤规则：Iptables或等效；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（21）远程控制方式：RS232控制和监控；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（22）电源输入：90 to 264 VAC,50/60Hz；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（23）结构尺寸：1 RU机架式。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（三）RCST调制解调器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1.基本要求:支持全军远程医学信息网网管远程监控功能，远程可对调制解调器参数进行设置与监控。能够与现有全军入网医院</w:t>
      </w:r>
      <w:r w:rsidRPr="00E55EDF">
        <w:rPr>
          <w:rFonts w:ascii="仿宋_GB2312" w:eastAsia="仿宋_GB2312" w:hAnsi="黑体"/>
          <w:sz w:val="32"/>
          <w:szCs w:val="32"/>
        </w:rPr>
        <w:t>TDMA调制解调器</w:t>
      </w:r>
      <w:r w:rsidR="001E1DD4">
        <w:rPr>
          <w:rFonts w:ascii="仿宋_GB2312" w:eastAsia="仿宋_GB2312" w:hAnsi="黑体" w:hint="eastAsia"/>
          <w:sz w:val="32"/>
          <w:szCs w:val="32"/>
        </w:rPr>
        <w:t>设备兼容互通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2.回传/上行信道格式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MF-TDMA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3.回传/上行信道中频发射频率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950～1450MHz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4.回传/上行信道编码方式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Turbo Coding，兼容DVB-RCS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5.回传/上行信道调制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QPSK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6.回传/上行信道符号速率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2.5Msps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7.下行信道格式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DVB-S2 ACM,MPE/MPEG-2,DVB-S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8.下行信道符号速率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DVB-S 1.11到36Msps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DVB-S2 1.1到36Msps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9.下行信道信息速率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DVB-S 1.1到58Mbps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DVB-S2 1.1到126Mbps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10.下行信道FEC和调制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DVB-S R/S(204,188)卷集码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/>
          <w:sz w:val="32"/>
          <w:szCs w:val="32"/>
        </w:rPr>
        <w:t>QPSK@1/2,2/3,3/4,5/6,7/8;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/>
          <w:sz w:val="32"/>
          <w:szCs w:val="32"/>
        </w:rPr>
        <w:t>DVB-S2 LDPC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/>
          <w:sz w:val="32"/>
          <w:szCs w:val="32"/>
        </w:rPr>
        <w:t>QPSK@1/2,3/5,2/3,3/4,4/5,5/6,8/9,9/10;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/>
          <w:sz w:val="32"/>
          <w:szCs w:val="32"/>
        </w:rPr>
        <w:t>8PSK@3/5,2/3,3/4,5/6,8/9,9/10;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/>
          <w:sz w:val="32"/>
          <w:szCs w:val="32"/>
        </w:rPr>
        <w:t>16APSK@2/3,3/4,4/5,5/6,8/9,9/10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11.下行信道误码率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按照DVB标准EN 30D421[DVB-S]和EN 302307[DVB-S2],为接近无差错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12.下行信道中频接收频率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950～1750MHz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13.L波段收发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2个F型接口，75欧姆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14.网络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1个10/100 BaseT Ethernet[RJ-45]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15.协议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支持TCP/IP,UDP/IP,IGMP,RIP 1&amp;2,IP QoS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16.控制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1个RS-232(DB-9)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17.尺寸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1U高，可机柜安装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18.电源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100～240VAC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（四）分合路器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1.频段范围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5～2150MHz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2.类型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1入4出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3.连接器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F型阴头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4.插入损耗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≤6.6dB(L波段)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5.端口特性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可通过DC、10MHz，反向隔直，端口隔离≥24dB</w:t>
      </w:r>
    </w:p>
    <w:p w:rsidR="001E1DD4" w:rsidRPr="00E55EDF" w:rsidRDefault="001E1DD4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（五）交换机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1.基本要求:三层交换机，具有24个百兆RJ45、2个千兆Combo接口、2个千兆SFP接口,交流供电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2.MAC地址表：遵循IEEE 802.1d标准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3.VLAN特性：支持4K个VLAN、支持Guest VLAN、Voice VLAN、Super VLAN、支持基于MAC/协议/IP子网的VLAN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4.可靠性：支持RRPP环型拓扑、支持相交环和多实例等功能，故障保护切换时间低于50ms、支持BPDU保护、根保护和环回保护、支持智能以太保护SEP（Smart Ethernet Protection）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5.IP路由：静态路由、RIP v1/v2、ECMP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6.组播：支持1K的组播组、支持IGMP v1/v2/v3 Snooping和快速离开机制、支持组播VLAN和跨VLAN组播复制、支持捆绑端口的组播负载分担、基于可控组播、基于端口的组播流量统计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7.QoS/ACL：支持对端口接收和发送报文的速率进行限制、支持报文重定向、支持基于端口的流量监管、支持L2（Layer 2）~L4（Layer 4）包过滤功能，提供基于源MAC地址、目的MAC地址、源IP地址、目的IP地址、端口、协议、VLAN的非法帧过滤功能、支持基于队列限速和端口Shaping功能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8.安全特性：用户分级管理和口令保护、支持防止DOS、ARP防攻击、ICMP防攻击功能、支持IP、MAC、端口、VLAN的组合绑定支持端口隔离、端口安全、Sticky MAC、支持黑洞MAC地址</w:t>
      </w:r>
      <w:r w:rsidR="001E1DD4">
        <w:rPr>
          <w:rFonts w:ascii="仿宋_GB2312" w:eastAsia="仿宋_GB2312" w:hAnsi="黑体" w:hint="eastAsia"/>
          <w:sz w:val="32"/>
          <w:szCs w:val="32"/>
        </w:rPr>
        <w:t>，</w:t>
      </w:r>
      <w:r w:rsidRPr="00E55EDF">
        <w:rPr>
          <w:rFonts w:ascii="仿宋_GB2312" w:eastAsia="仿宋_GB2312" w:hAnsi="黑体" w:hint="eastAsia"/>
          <w:sz w:val="32"/>
          <w:szCs w:val="32"/>
        </w:rPr>
        <w:t>支持MAC地址学习数目限制、支持IEEE 802.1x认证，支持单端口最大用户数限制、支持AAA认证，支持Radius等多种方式、支持SSH V2.0、支持CPU保护功能、支持黑名单和白名单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9.网管：支持SNMPv1/v2/v3、支持WEB管理特性、支持SSH V2</w:t>
      </w:r>
    </w:p>
    <w:p w:rsidR="001E1DD4" w:rsidRPr="001E1DD4" w:rsidRDefault="001E1DD4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（六）串口服务器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1.基本要求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体积小巧，便于机柜后侧安装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2.支持协议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ARP,UDP,TCP,Telnet,ICMP,TFTP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3.网络口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10/100BaseT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lastRenderedPageBreak/>
        <w:t>4.串行口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2个串行口,DB9针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5.串行波特率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300bps至115.2kbps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6.字长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7或8位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7.停止位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1至2位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8.奇偶校验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奇,偶,无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9.流量控制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XON/XOFF,CTS/RTS,无流控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10、Modem控制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DTR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11.LED指示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电源,串口数据收发,以太网LINK状态,以太网口数据收发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12.设备管理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HTTP,串行口登陆,Telnet登陆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13.输入电源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9～12V,≤500mA</w:t>
      </w:r>
    </w:p>
    <w:p w:rsidR="00E55EDF" w:rsidRPr="00E55EDF" w:rsidRDefault="001E1DD4" w:rsidP="001E1DD4">
      <w:pPr>
        <w:spacing w:line="56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（七）</w:t>
      </w:r>
      <w:r w:rsidRPr="001E1DD4">
        <w:rPr>
          <w:rFonts w:ascii="仿宋_GB2312" w:eastAsia="仿宋_GB2312" w:hAnsi="黑体" w:hint="eastAsia"/>
          <w:sz w:val="32"/>
          <w:szCs w:val="32"/>
        </w:rPr>
        <w:t>设备安装调试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1.基本要求</w:t>
      </w:r>
      <w:r w:rsidR="001E1DD4">
        <w:rPr>
          <w:rFonts w:ascii="仿宋_GB2312" w:eastAsia="仿宋_GB2312" w:hAnsi="黑体" w:hint="eastAsia"/>
          <w:sz w:val="32"/>
          <w:szCs w:val="32"/>
        </w:rPr>
        <w:t>，</w:t>
      </w:r>
      <w:r w:rsidRPr="00E55EDF">
        <w:rPr>
          <w:rFonts w:ascii="仿宋_GB2312" w:eastAsia="仿宋_GB2312" w:hAnsi="黑体" w:hint="eastAsia"/>
          <w:sz w:val="32"/>
          <w:szCs w:val="32"/>
        </w:rPr>
        <w:t>包含但不限于站点安装所需的防水、绝缘、各种接头、各种固定件等配件和辅料</w:t>
      </w:r>
      <w:r w:rsidR="001E1DD4">
        <w:rPr>
          <w:rFonts w:ascii="仿宋_GB2312" w:eastAsia="仿宋_GB2312" w:hAnsi="黑体" w:hint="eastAsia"/>
          <w:sz w:val="32"/>
          <w:szCs w:val="32"/>
        </w:rPr>
        <w:t>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2.入网测试要求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所有设备需要进行系统集成，系统安装时进行远程医学系统入网验证，满足远程医学使用要求</w:t>
      </w:r>
      <w:r w:rsidR="001E1DD4">
        <w:rPr>
          <w:rFonts w:ascii="仿宋_GB2312" w:eastAsia="仿宋_GB2312" w:hAnsi="黑体" w:hint="eastAsia"/>
          <w:sz w:val="32"/>
          <w:szCs w:val="32"/>
        </w:rPr>
        <w:t>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3.安装运输要求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中标单位负责设备包装、免费运输至国内指定地点，自行承担运保费用</w:t>
      </w:r>
      <w:r w:rsidR="001E1DD4">
        <w:rPr>
          <w:rFonts w:ascii="仿宋_GB2312" w:eastAsia="仿宋_GB2312" w:hAnsi="黑体" w:hint="eastAsia"/>
          <w:sz w:val="32"/>
          <w:szCs w:val="32"/>
        </w:rPr>
        <w:t>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4.施工安装要求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中标单位须应有专业工程技术人员保证项目安装与服务，自行承担所有费用</w:t>
      </w:r>
      <w:r w:rsidR="001E1DD4">
        <w:rPr>
          <w:rFonts w:ascii="仿宋_GB2312" w:eastAsia="仿宋_GB2312" w:hAnsi="黑体" w:hint="eastAsia"/>
          <w:sz w:val="32"/>
          <w:szCs w:val="32"/>
        </w:rPr>
        <w:t>。</w:t>
      </w:r>
    </w:p>
    <w:p w:rsidR="00E55EDF" w:rsidRPr="00E55EDF" w:rsidRDefault="00E55EDF" w:rsidP="001E1DD4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55EDF">
        <w:rPr>
          <w:rFonts w:ascii="仿宋_GB2312" w:eastAsia="仿宋_GB2312" w:hAnsi="黑体" w:hint="eastAsia"/>
          <w:sz w:val="32"/>
          <w:szCs w:val="32"/>
        </w:rPr>
        <w:t>5.质量保证要求</w:t>
      </w:r>
      <w:r w:rsidRPr="00E55EDF">
        <w:rPr>
          <w:rFonts w:ascii="仿宋_GB2312" w:eastAsia="仿宋_GB2312" w:hAnsi="黑体" w:hint="eastAsia"/>
          <w:sz w:val="32"/>
          <w:szCs w:val="32"/>
        </w:rPr>
        <w:tab/>
        <w:t>所有设备保修期三年，保修期内免费上门技术服务</w:t>
      </w:r>
    </w:p>
    <w:bookmarkEnd w:id="2"/>
    <w:bookmarkEnd w:id="3"/>
    <w:p w:rsidR="00E55EDF" w:rsidRPr="001E1DD4" w:rsidRDefault="00E55EDF" w:rsidP="001E1DD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1E1DD4">
        <w:rPr>
          <w:rFonts w:ascii="黑体" w:eastAsia="黑体" w:hAnsi="黑体" w:hint="eastAsia"/>
          <w:sz w:val="32"/>
          <w:szCs w:val="32"/>
        </w:rPr>
        <w:t>五、商务要求</w:t>
      </w:r>
    </w:p>
    <w:p w:rsidR="00E55EDF" w:rsidRPr="001E1DD4" w:rsidRDefault="00E55EDF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1.质保期：自设备验收合格之日起免费质保3年。</w:t>
      </w:r>
    </w:p>
    <w:p w:rsidR="00E55EDF" w:rsidRPr="001E1DD4" w:rsidRDefault="00E55EDF" w:rsidP="001E1DD4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lastRenderedPageBreak/>
        <w:t>2.投标人对提供的货物在质保期内，因产品质量而导致的缺陷，必须免费提供维修服务。</w:t>
      </w:r>
    </w:p>
    <w:p w:rsidR="00E55EDF" w:rsidRPr="001E1DD4" w:rsidRDefault="00E55EDF" w:rsidP="001E1DD4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3.投标方对提供的设备在维护服务期内，因产品质量而导致的缺陷，必须免费提供包修、包换、包退服务。</w:t>
      </w:r>
    </w:p>
    <w:p w:rsidR="00E55EDF" w:rsidRPr="001E1DD4" w:rsidRDefault="00E55EDF" w:rsidP="001E1DD4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4.投标方须在“三包”范围内无偿提供该货物的技术培训和技术支持。</w:t>
      </w:r>
    </w:p>
    <w:p w:rsidR="00E55EDF" w:rsidRPr="001E1DD4" w:rsidRDefault="00E55EDF" w:rsidP="001E1DD4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5.投标方就所提供的货物必须在2小时内响应，24小时到达现场的维修服务。</w:t>
      </w:r>
    </w:p>
    <w:p w:rsidR="00E55EDF" w:rsidRPr="001E1DD4" w:rsidRDefault="00E55EDF" w:rsidP="001E1DD4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6.投标方须提供一份易损易耗件清单，并具有长期提供货物易损耗零配件的能力。</w:t>
      </w:r>
    </w:p>
    <w:p w:rsidR="001E1DD4" w:rsidRPr="001E1DD4" w:rsidRDefault="001E1DD4" w:rsidP="001E1D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1E1DD4">
        <w:rPr>
          <w:rFonts w:ascii="黑体" w:eastAsia="黑体" w:hAnsi="黑体" w:hint="eastAsia"/>
          <w:sz w:val="32"/>
          <w:szCs w:val="32"/>
        </w:rPr>
        <w:t>、交货期限及交货地点</w:t>
      </w:r>
    </w:p>
    <w:p w:rsidR="001E1DD4" w:rsidRPr="001E1DD4" w:rsidRDefault="001E1DD4" w:rsidP="001E1DD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交货期限：自合同签订之日起15个工作日内完成供货、安装。</w:t>
      </w:r>
    </w:p>
    <w:p w:rsidR="001E1DD4" w:rsidRPr="001E1DD4" w:rsidRDefault="001E1DD4" w:rsidP="001E1DD4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E1DD4">
        <w:rPr>
          <w:rFonts w:ascii="仿宋_GB2312" w:eastAsia="仿宋_GB2312" w:hAnsi="黑体" w:hint="eastAsia"/>
          <w:sz w:val="32"/>
          <w:szCs w:val="32"/>
        </w:rPr>
        <w:t>交货地点：甘肃省兰州市。</w:t>
      </w:r>
    </w:p>
    <w:p w:rsidR="00932249" w:rsidRPr="001E1DD4" w:rsidRDefault="00A21126"/>
    <w:sectPr w:rsidR="00932249" w:rsidRPr="001E1DD4" w:rsidSect="00F248B4">
      <w:footerReference w:type="first" r:id="rId6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26" w:rsidRDefault="00A21126" w:rsidP="00E55EDF">
      <w:pPr>
        <w:spacing w:line="240" w:lineRule="auto"/>
      </w:pPr>
      <w:r>
        <w:separator/>
      </w:r>
    </w:p>
  </w:endnote>
  <w:endnote w:type="continuationSeparator" w:id="1">
    <w:p w:rsidR="00A21126" w:rsidRDefault="00A21126" w:rsidP="00E5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B4" w:rsidRDefault="00A211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F248B4" w:rsidRDefault="00A21126">
                <w:pPr>
                  <w:pStyle w:val="a3"/>
                </w:pPr>
                <w:r>
                  <w:fldChar w:fldCharType="begin"/>
                </w:r>
                <w:r>
                  <w:instrText xml:space="preserve"> PAGE  \* </w:instrText>
                </w:r>
                <w:r>
                  <w:instrText xml:space="preserve">MERGEFORMAT </w:instrText>
                </w:r>
                <w:r>
                  <w:fldChar w:fldCharType="separate"/>
                </w:r>
                <w:r w:rsidR="001E1DD4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rPr>
                    <w:rFonts w:hint="eastAsia"/>
                  </w:rPr>
                  <w:t>10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26" w:rsidRDefault="00A21126" w:rsidP="00E55EDF">
      <w:pPr>
        <w:spacing w:line="240" w:lineRule="auto"/>
      </w:pPr>
      <w:r>
        <w:separator/>
      </w:r>
    </w:p>
  </w:footnote>
  <w:footnote w:type="continuationSeparator" w:id="1">
    <w:p w:rsidR="00A21126" w:rsidRDefault="00A21126" w:rsidP="00E55E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EDF"/>
    <w:rsid w:val="001E1DD4"/>
    <w:rsid w:val="00331255"/>
    <w:rsid w:val="00A21126"/>
    <w:rsid w:val="00B85C1D"/>
    <w:rsid w:val="00E55EDF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DF"/>
    <w:pPr>
      <w:widowControl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5E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5E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E5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5ED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55ED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728</Words>
  <Characters>4152</Characters>
  <Application>Microsoft Office Word</Application>
  <DocSecurity>0</DocSecurity>
  <Lines>34</Lines>
  <Paragraphs>9</Paragraphs>
  <ScaleCrop>false</ScaleCrop>
  <Company>China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2021-12-08T03:06:00Z</dcterms:created>
  <dcterms:modified xsi:type="dcterms:W3CDTF">2021-12-08T03:22:00Z</dcterms:modified>
</cp:coreProperties>
</file>