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FB2" w:rsidRPr="00354ABE" w:rsidRDefault="00354ABE">
      <w:pPr>
        <w:rPr>
          <w:rFonts w:ascii="黑体" w:eastAsia="黑体" w:hAnsi="黑体"/>
          <w:sz w:val="32"/>
          <w:szCs w:val="32"/>
        </w:rPr>
      </w:pPr>
      <w:r w:rsidRPr="00354ABE">
        <w:rPr>
          <w:rFonts w:ascii="黑体" w:eastAsia="黑体" w:hAnsi="黑体" w:hint="eastAsia"/>
          <w:sz w:val="32"/>
          <w:szCs w:val="32"/>
        </w:rPr>
        <w:t>附件1</w:t>
      </w:r>
    </w:p>
    <w:p w:rsidR="00354ABE" w:rsidRPr="00354ABE" w:rsidRDefault="00354ABE" w:rsidP="00354ABE">
      <w:pPr>
        <w:jc w:val="center"/>
        <w:rPr>
          <w:rFonts w:ascii="方正小标宋简体" w:eastAsia="方正小标宋简体"/>
          <w:sz w:val="44"/>
          <w:szCs w:val="44"/>
        </w:rPr>
      </w:pPr>
      <w:r w:rsidRPr="00354ABE">
        <w:rPr>
          <w:rFonts w:ascii="方正小标宋简体" w:eastAsia="方正小标宋简体" w:hint="eastAsia"/>
          <w:sz w:val="44"/>
          <w:szCs w:val="44"/>
        </w:rPr>
        <w:t>需求概况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8"/>
        <w:gridCol w:w="1349"/>
        <w:gridCol w:w="995"/>
        <w:gridCol w:w="1234"/>
        <w:gridCol w:w="995"/>
        <w:gridCol w:w="995"/>
        <w:gridCol w:w="995"/>
        <w:gridCol w:w="1101"/>
      </w:tblGrid>
      <w:tr w:rsidR="00CE1902" w:rsidTr="00354ABE">
        <w:trPr>
          <w:trHeight w:val="1088"/>
        </w:trPr>
        <w:tc>
          <w:tcPr>
            <w:tcW w:w="503" w:type="pct"/>
            <w:tcBorders>
              <w:top w:val="single" w:sz="4" w:space="0" w:color="000000"/>
              <w:left w:val="single" w:sz="4" w:space="0" w:color="000000"/>
              <w:bottom w:val="single" w:sz="4" w:space="0" w:color="000000"/>
              <w:right w:val="single" w:sz="4" w:space="0" w:color="000000"/>
            </w:tcBorders>
            <w:vAlign w:val="center"/>
            <w:hideMark/>
          </w:tcPr>
          <w:p w:rsidR="00CE1902" w:rsidRPr="004E3D79" w:rsidRDefault="00CE1902" w:rsidP="00D573F9">
            <w:pPr>
              <w:widowControl/>
              <w:snapToGrid w:val="0"/>
              <w:jc w:val="center"/>
              <w:rPr>
                <w:rFonts w:ascii="黑体" w:eastAsia="黑体" w:hAnsi="黑体" w:cs="黑体"/>
                <w:sz w:val="20"/>
                <w:szCs w:val="20"/>
              </w:rPr>
            </w:pPr>
            <w:r w:rsidRPr="004E3D79">
              <w:rPr>
                <w:rFonts w:ascii="黑体" w:eastAsia="黑体" w:hAnsi="黑体" w:cs="黑体" w:hint="eastAsia"/>
                <w:sz w:val="20"/>
                <w:szCs w:val="20"/>
              </w:rPr>
              <w:t>序号</w:t>
            </w:r>
          </w:p>
        </w:tc>
        <w:tc>
          <w:tcPr>
            <w:tcW w:w="791" w:type="pct"/>
            <w:tcBorders>
              <w:top w:val="single" w:sz="4" w:space="0" w:color="000000"/>
              <w:left w:val="single" w:sz="4" w:space="0" w:color="000000"/>
              <w:bottom w:val="single" w:sz="4" w:space="0" w:color="000000"/>
              <w:right w:val="single" w:sz="4" w:space="0" w:color="000000"/>
            </w:tcBorders>
            <w:vAlign w:val="center"/>
            <w:hideMark/>
          </w:tcPr>
          <w:p w:rsidR="00CE1902" w:rsidRPr="004E3D79" w:rsidRDefault="00CE1902" w:rsidP="00D573F9">
            <w:pPr>
              <w:widowControl/>
              <w:snapToGrid w:val="0"/>
              <w:jc w:val="center"/>
              <w:rPr>
                <w:rFonts w:ascii="黑体" w:eastAsia="黑体" w:hAnsi="黑体" w:cs="黑体"/>
                <w:sz w:val="20"/>
                <w:szCs w:val="20"/>
              </w:rPr>
            </w:pPr>
            <w:r w:rsidRPr="004E3D79">
              <w:rPr>
                <w:rFonts w:ascii="黑体" w:eastAsia="黑体" w:hAnsi="黑体" w:cs="黑体" w:hint="eastAsia"/>
                <w:sz w:val="20"/>
                <w:szCs w:val="20"/>
              </w:rPr>
              <w:t>项目及品种名称</w:t>
            </w:r>
          </w:p>
        </w:tc>
        <w:tc>
          <w:tcPr>
            <w:tcW w:w="584" w:type="pct"/>
            <w:tcBorders>
              <w:top w:val="single" w:sz="4" w:space="0" w:color="000000"/>
              <w:left w:val="single" w:sz="4" w:space="0" w:color="000000"/>
              <w:bottom w:val="single" w:sz="4" w:space="0" w:color="000000"/>
              <w:right w:val="single" w:sz="4" w:space="0" w:color="000000"/>
            </w:tcBorders>
            <w:vAlign w:val="center"/>
            <w:hideMark/>
          </w:tcPr>
          <w:p w:rsidR="00CE1902" w:rsidRPr="004E3D79" w:rsidRDefault="00CE1902" w:rsidP="00D573F9">
            <w:pPr>
              <w:widowControl/>
              <w:snapToGrid w:val="0"/>
              <w:jc w:val="center"/>
              <w:rPr>
                <w:rFonts w:ascii="黑体" w:eastAsia="黑体" w:hAnsi="黑体" w:cs="黑体"/>
                <w:sz w:val="20"/>
                <w:szCs w:val="20"/>
              </w:rPr>
            </w:pPr>
            <w:r w:rsidRPr="004E3D79">
              <w:rPr>
                <w:rFonts w:ascii="黑体" w:eastAsia="黑体" w:hAnsi="黑体" w:cs="黑体" w:hint="eastAsia"/>
                <w:sz w:val="20"/>
                <w:szCs w:val="20"/>
              </w:rPr>
              <w:t>规格</w:t>
            </w:r>
          </w:p>
          <w:p w:rsidR="00CE1902" w:rsidRPr="004E3D79" w:rsidRDefault="00CE1902" w:rsidP="00D573F9">
            <w:pPr>
              <w:widowControl/>
              <w:snapToGrid w:val="0"/>
              <w:jc w:val="center"/>
              <w:rPr>
                <w:rFonts w:ascii="黑体" w:eastAsia="黑体" w:hAnsi="黑体" w:cs="黑体"/>
                <w:sz w:val="20"/>
                <w:szCs w:val="20"/>
              </w:rPr>
            </w:pPr>
            <w:r w:rsidRPr="004E3D79">
              <w:rPr>
                <w:rFonts w:ascii="黑体" w:eastAsia="黑体" w:hAnsi="黑体" w:cs="黑体" w:hint="eastAsia"/>
                <w:sz w:val="20"/>
                <w:szCs w:val="20"/>
              </w:rPr>
              <w:t>型号</w:t>
            </w:r>
          </w:p>
        </w:tc>
        <w:tc>
          <w:tcPr>
            <w:tcW w:w="724" w:type="pct"/>
            <w:tcBorders>
              <w:top w:val="single" w:sz="4" w:space="0" w:color="000000"/>
              <w:left w:val="single" w:sz="4" w:space="0" w:color="000000"/>
              <w:bottom w:val="single" w:sz="4" w:space="0" w:color="000000"/>
              <w:right w:val="single" w:sz="4" w:space="0" w:color="000000"/>
            </w:tcBorders>
            <w:vAlign w:val="center"/>
            <w:hideMark/>
          </w:tcPr>
          <w:p w:rsidR="00CE1902" w:rsidRPr="004E3D79" w:rsidRDefault="00CE1902" w:rsidP="00A121B6">
            <w:pPr>
              <w:widowControl/>
              <w:snapToGrid w:val="0"/>
              <w:jc w:val="center"/>
              <w:rPr>
                <w:rFonts w:ascii="黑体" w:eastAsia="黑体" w:hAnsi="黑体" w:cs="黑体"/>
                <w:sz w:val="20"/>
                <w:szCs w:val="20"/>
              </w:rPr>
            </w:pPr>
            <w:r w:rsidRPr="004E3D79">
              <w:rPr>
                <w:rFonts w:ascii="黑体" w:eastAsia="黑体" w:hAnsi="黑体" w:cs="黑体" w:hint="eastAsia"/>
                <w:sz w:val="20"/>
                <w:szCs w:val="20"/>
              </w:rPr>
              <w:t>物资质量技术标准或服务内容及标准要求</w:t>
            </w:r>
          </w:p>
        </w:tc>
        <w:tc>
          <w:tcPr>
            <w:tcW w:w="584" w:type="pct"/>
            <w:tcBorders>
              <w:top w:val="single" w:sz="4" w:space="0" w:color="000000"/>
              <w:left w:val="single" w:sz="4" w:space="0" w:color="000000"/>
              <w:bottom w:val="single" w:sz="4" w:space="0" w:color="000000"/>
              <w:right w:val="single" w:sz="4" w:space="0" w:color="000000"/>
            </w:tcBorders>
            <w:vAlign w:val="center"/>
            <w:hideMark/>
          </w:tcPr>
          <w:p w:rsidR="00CE1902" w:rsidRPr="004E3D79" w:rsidRDefault="00CE1902" w:rsidP="00D573F9">
            <w:pPr>
              <w:widowControl/>
              <w:snapToGrid w:val="0"/>
              <w:jc w:val="center"/>
              <w:rPr>
                <w:rFonts w:ascii="黑体" w:eastAsia="黑体" w:hAnsi="黑体" w:cs="黑体"/>
                <w:sz w:val="20"/>
                <w:szCs w:val="20"/>
              </w:rPr>
            </w:pPr>
            <w:r w:rsidRPr="004E3D79">
              <w:rPr>
                <w:rFonts w:ascii="黑体" w:eastAsia="黑体" w:hAnsi="黑体" w:cs="黑体" w:hint="eastAsia"/>
                <w:sz w:val="20"/>
                <w:szCs w:val="20"/>
              </w:rPr>
              <w:t>计量</w:t>
            </w:r>
          </w:p>
          <w:p w:rsidR="00CE1902" w:rsidRPr="004E3D79" w:rsidRDefault="00CE1902" w:rsidP="00D573F9">
            <w:pPr>
              <w:widowControl/>
              <w:snapToGrid w:val="0"/>
              <w:jc w:val="center"/>
              <w:rPr>
                <w:rFonts w:ascii="黑体" w:eastAsia="黑体" w:hAnsi="黑体" w:cs="黑体"/>
                <w:sz w:val="20"/>
                <w:szCs w:val="20"/>
              </w:rPr>
            </w:pPr>
            <w:r w:rsidRPr="004E3D79">
              <w:rPr>
                <w:rFonts w:ascii="黑体" w:eastAsia="黑体" w:hAnsi="黑体" w:cs="黑体" w:hint="eastAsia"/>
                <w:sz w:val="20"/>
                <w:szCs w:val="20"/>
              </w:rPr>
              <w:t>单位</w:t>
            </w:r>
          </w:p>
        </w:tc>
        <w:tc>
          <w:tcPr>
            <w:tcW w:w="584" w:type="pct"/>
            <w:tcBorders>
              <w:top w:val="single" w:sz="4" w:space="0" w:color="000000"/>
              <w:left w:val="single" w:sz="4" w:space="0" w:color="000000"/>
              <w:bottom w:val="single" w:sz="4" w:space="0" w:color="000000"/>
              <w:right w:val="single" w:sz="4" w:space="0" w:color="000000"/>
            </w:tcBorders>
            <w:vAlign w:val="center"/>
            <w:hideMark/>
          </w:tcPr>
          <w:p w:rsidR="00CE1902" w:rsidRPr="004E3D79" w:rsidRDefault="00CE1902" w:rsidP="00D573F9">
            <w:pPr>
              <w:widowControl/>
              <w:snapToGrid w:val="0"/>
              <w:jc w:val="center"/>
              <w:rPr>
                <w:rFonts w:ascii="黑体" w:eastAsia="黑体" w:hAnsi="黑体" w:cs="黑体"/>
                <w:sz w:val="20"/>
                <w:szCs w:val="20"/>
              </w:rPr>
            </w:pPr>
            <w:r w:rsidRPr="004E3D79">
              <w:rPr>
                <w:rFonts w:ascii="黑体" w:eastAsia="黑体" w:hAnsi="黑体" w:cs="黑体" w:hint="eastAsia"/>
                <w:sz w:val="20"/>
                <w:szCs w:val="20"/>
              </w:rPr>
              <w:t>采购</w:t>
            </w:r>
          </w:p>
          <w:p w:rsidR="00CE1902" w:rsidRPr="004E3D79" w:rsidRDefault="00CE1902" w:rsidP="00D573F9">
            <w:pPr>
              <w:widowControl/>
              <w:snapToGrid w:val="0"/>
              <w:jc w:val="center"/>
              <w:rPr>
                <w:rFonts w:ascii="黑体" w:eastAsia="黑体" w:hAnsi="黑体" w:cs="黑体"/>
                <w:sz w:val="20"/>
                <w:szCs w:val="20"/>
              </w:rPr>
            </w:pPr>
            <w:r w:rsidRPr="004E3D79">
              <w:rPr>
                <w:rFonts w:ascii="黑体" w:eastAsia="黑体" w:hAnsi="黑体" w:cs="黑体" w:hint="eastAsia"/>
                <w:sz w:val="20"/>
                <w:szCs w:val="20"/>
              </w:rPr>
              <w:t>数量</w:t>
            </w:r>
          </w:p>
        </w:tc>
        <w:tc>
          <w:tcPr>
            <w:tcW w:w="584" w:type="pct"/>
            <w:tcBorders>
              <w:top w:val="single" w:sz="4" w:space="0" w:color="000000"/>
              <w:left w:val="single" w:sz="4" w:space="0" w:color="000000"/>
              <w:bottom w:val="single" w:sz="4" w:space="0" w:color="000000"/>
              <w:right w:val="single" w:sz="4" w:space="0" w:color="000000"/>
            </w:tcBorders>
            <w:vAlign w:val="center"/>
            <w:hideMark/>
          </w:tcPr>
          <w:p w:rsidR="00CE1902" w:rsidRPr="004E3D79" w:rsidRDefault="00CE1902" w:rsidP="00A121B6">
            <w:pPr>
              <w:widowControl/>
              <w:snapToGrid w:val="0"/>
              <w:jc w:val="center"/>
              <w:rPr>
                <w:rFonts w:ascii="黑体" w:eastAsia="黑体" w:hAnsi="黑体" w:cs="黑体"/>
                <w:sz w:val="20"/>
                <w:szCs w:val="20"/>
              </w:rPr>
            </w:pPr>
            <w:r w:rsidRPr="004E3D79">
              <w:rPr>
                <w:rFonts w:ascii="黑体" w:eastAsia="黑体" w:hAnsi="黑体" w:cs="黑体" w:hint="eastAsia"/>
                <w:sz w:val="20"/>
                <w:szCs w:val="20"/>
              </w:rPr>
              <w:t>交货（服务）期限</w:t>
            </w:r>
          </w:p>
        </w:tc>
        <w:tc>
          <w:tcPr>
            <w:tcW w:w="646" w:type="pct"/>
            <w:tcBorders>
              <w:top w:val="single" w:sz="4" w:space="0" w:color="000000"/>
              <w:left w:val="single" w:sz="4" w:space="0" w:color="000000"/>
              <w:bottom w:val="single" w:sz="4" w:space="0" w:color="000000"/>
              <w:right w:val="single" w:sz="4" w:space="0" w:color="000000"/>
            </w:tcBorders>
            <w:vAlign w:val="center"/>
            <w:hideMark/>
          </w:tcPr>
          <w:p w:rsidR="00CE1902" w:rsidRPr="004E3D79" w:rsidRDefault="00CE1902" w:rsidP="00A121B6">
            <w:pPr>
              <w:widowControl/>
              <w:snapToGrid w:val="0"/>
              <w:jc w:val="center"/>
              <w:rPr>
                <w:rFonts w:ascii="黑体" w:eastAsia="黑体" w:hAnsi="黑体" w:cs="黑体"/>
                <w:sz w:val="20"/>
                <w:szCs w:val="20"/>
              </w:rPr>
            </w:pPr>
            <w:r w:rsidRPr="004E3D79">
              <w:rPr>
                <w:rFonts w:ascii="黑体" w:eastAsia="黑体" w:hAnsi="黑体" w:cs="黑体" w:hint="eastAsia"/>
                <w:sz w:val="20"/>
                <w:szCs w:val="20"/>
              </w:rPr>
              <w:t>备注</w:t>
            </w:r>
          </w:p>
        </w:tc>
      </w:tr>
      <w:tr w:rsidR="00CE1902" w:rsidTr="00354ABE">
        <w:trPr>
          <w:trHeight w:val="334"/>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spacing w:line="360" w:lineRule="auto"/>
              <w:jc w:val="center"/>
              <w:rPr>
                <w:rFonts w:ascii="仿宋_GB2312" w:hAnsi="宋体" w:cs="宋体"/>
                <w:sz w:val="20"/>
                <w:szCs w:val="20"/>
              </w:rPr>
            </w:pPr>
          </w:p>
        </w:tc>
        <w:tc>
          <w:tcPr>
            <w:tcW w:w="791" w:type="pct"/>
            <w:tcBorders>
              <w:top w:val="single" w:sz="4" w:space="0" w:color="000000"/>
              <w:left w:val="single" w:sz="4" w:space="0" w:color="000000"/>
              <w:bottom w:val="single" w:sz="4" w:space="0" w:color="000000"/>
              <w:right w:val="single" w:sz="4" w:space="0" w:color="000000"/>
            </w:tcBorders>
            <w:vAlign w:val="center"/>
            <w:hideMark/>
          </w:tcPr>
          <w:p w:rsidR="00CE1902" w:rsidRPr="004E3D79" w:rsidRDefault="00CE1902" w:rsidP="00D573F9">
            <w:pPr>
              <w:widowControl/>
              <w:snapToGrid w:val="0"/>
              <w:spacing w:line="360" w:lineRule="auto"/>
              <w:jc w:val="center"/>
              <w:rPr>
                <w:rFonts w:ascii="仿宋_GB2312" w:hAnsi="宋体" w:cs="宋体"/>
                <w:sz w:val="20"/>
                <w:szCs w:val="20"/>
              </w:rPr>
            </w:pPr>
            <w:r w:rsidRPr="004E3D79">
              <w:rPr>
                <w:rFonts w:ascii="仿宋_GB2312" w:hAnsi="宋体" w:cs="宋体" w:hint="eastAsia"/>
                <w:sz w:val="20"/>
                <w:szCs w:val="20"/>
              </w:rPr>
              <w:t>合计</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spacing w:line="360" w:lineRule="auto"/>
              <w:jc w:val="center"/>
              <w:rPr>
                <w:rFonts w:ascii="仿宋_GB2312" w:hAnsi="宋体" w:cs="宋体"/>
                <w:sz w:val="20"/>
                <w:szCs w:val="20"/>
              </w:rPr>
            </w:pP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spacing w:line="360" w:lineRule="auto"/>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spacing w:line="360" w:lineRule="auto"/>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spacing w:line="360" w:lineRule="auto"/>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spacing w:line="360" w:lineRule="auto"/>
              <w:jc w:val="center"/>
              <w:rPr>
                <w:rFonts w:ascii="仿宋_GB2312" w:hAnsi="宋体" w:cs="宋体"/>
                <w:sz w:val="20"/>
                <w:szCs w:val="20"/>
              </w:rPr>
            </w:pP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spacing w:line="360" w:lineRule="auto"/>
              <w:jc w:val="center"/>
              <w:rPr>
                <w:rFonts w:ascii="仿宋_GB2312" w:hAnsi="宋体" w:cs="宋体"/>
                <w:sz w:val="20"/>
                <w:szCs w:val="20"/>
              </w:rPr>
            </w:pPr>
          </w:p>
        </w:tc>
      </w:tr>
      <w:tr w:rsidR="00CE1902" w:rsidTr="00354ABE">
        <w:trPr>
          <w:trHeight w:val="334"/>
        </w:trPr>
        <w:tc>
          <w:tcPr>
            <w:tcW w:w="503" w:type="pct"/>
            <w:tcBorders>
              <w:top w:val="single" w:sz="4" w:space="0" w:color="000000"/>
              <w:left w:val="single" w:sz="4" w:space="0" w:color="000000"/>
              <w:bottom w:val="single" w:sz="4" w:space="0" w:color="000000"/>
              <w:right w:val="single" w:sz="4" w:space="0" w:color="000000"/>
            </w:tcBorders>
            <w:vAlign w:val="center"/>
            <w:hideMark/>
          </w:tcPr>
          <w:p w:rsidR="00CE1902" w:rsidRPr="004E3D79" w:rsidRDefault="00CE1902" w:rsidP="00D573F9">
            <w:pPr>
              <w:widowControl/>
              <w:snapToGrid w:val="0"/>
              <w:jc w:val="center"/>
              <w:rPr>
                <w:rFonts w:ascii="仿宋_GB2312" w:hAnsi="宋体" w:cs="宋体"/>
                <w:sz w:val="20"/>
                <w:szCs w:val="20"/>
              </w:rPr>
            </w:pPr>
            <w:proofErr w:type="gramStart"/>
            <w:r w:rsidRPr="004E3D79">
              <w:rPr>
                <w:rFonts w:ascii="仿宋_GB2312" w:hAnsi="宋体" w:cs="宋体" w:hint="eastAsia"/>
                <w:sz w:val="20"/>
                <w:szCs w:val="20"/>
              </w:rPr>
              <w:t>一</w:t>
            </w:r>
            <w:proofErr w:type="gramEnd"/>
          </w:p>
        </w:tc>
        <w:tc>
          <w:tcPr>
            <w:tcW w:w="791" w:type="pct"/>
            <w:tcBorders>
              <w:top w:val="single" w:sz="4" w:space="0" w:color="000000"/>
              <w:left w:val="single" w:sz="4" w:space="0" w:color="000000"/>
              <w:bottom w:val="single" w:sz="4" w:space="0" w:color="000000"/>
              <w:right w:val="single" w:sz="4" w:space="0" w:color="000000"/>
            </w:tcBorders>
            <w:vAlign w:val="center"/>
            <w:hideMark/>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移动护理</w:t>
            </w:r>
            <w:r>
              <w:rPr>
                <w:rFonts w:ascii="仿宋_GB2312" w:hAnsi="宋体" w:cs="宋体"/>
                <w:sz w:val="20"/>
                <w:szCs w:val="20"/>
              </w:rPr>
              <w:t>管理平台</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详见技术参数及要求</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项</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ind w:firstLineChars="100" w:firstLine="200"/>
              <w:rPr>
                <w:rFonts w:ascii="仿宋_GB2312" w:hAnsi="宋体" w:cs="宋体"/>
                <w:sz w:val="20"/>
                <w:szCs w:val="20"/>
              </w:rPr>
            </w:pPr>
            <w:r>
              <w:rPr>
                <w:rFonts w:ascii="仿宋_GB2312" w:hAnsi="宋体" w:cs="宋体" w:hint="eastAsia"/>
                <w:sz w:val="20"/>
                <w:szCs w:val="20"/>
              </w:rPr>
              <w:t>1.1</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应用</w:t>
            </w:r>
            <w:r>
              <w:rPr>
                <w:rFonts w:ascii="仿宋_GB2312" w:hAnsi="宋体" w:cs="宋体"/>
                <w:sz w:val="20"/>
                <w:szCs w:val="20"/>
              </w:rPr>
              <w:t>服务器</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台</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4</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1.2</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sidRPr="001638BE">
              <w:rPr>
                <w:rFonts w:ascii="仿宋_GB2312" w:hAnsi="宋体" w:cs="宋体" w:hint="eastAsia"/>
                <w:sz w:val="20"/>
                <w:szCs w:val="20"/>
              </w:rPr>
              <w:t>数据库服务器</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台</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sz w:val="20"/>
                <w:szCs w:val="20"/>
              </w:rPr>
              <w:t>2</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1.3</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sidRPr="001638BE">
              <w:rPr>
                <w:rFonts w:ascii="仿宋_GB2312" w:hAnsi="宋体" w:cs="宋体" w:hint="eastAsia"/>
                <w:sz w:val="20"/>
                <w:szCs w:val="20"/>
              </w:rPr>
              <w:t>备份服务器</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台</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sz w:val="20"/>
                <w:szCs w:val="20"/>
              </w:rPr>
              <w:t>1</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1.4</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负载</w:t>
            </w:r>
            <w:r>
              <w:rPr>
                <w:rFonts w:ascii="仿宋_GB2312" w:hAnsi="宋体" w:cs="宋体"/>
                <w:sz w:val="20"/>
                <w:szCs w:val="20"/>
              </w:rPr>
              <w:t>均衡器</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台</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sz w:val="20"/>
                <w:szCs w:val="20"/>
              </w:rPr>
              <w:t>2</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1.5</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sidRPr="00FB7409">
              <w:rPr>
                <w:rFonts w:ascii="仿宋_GB2312" w:hAnsi="宋体" w:cs="宋体" w:hint="eastAsia"/>
                <w:sz w:val="20"/>
                <w:szCs w:val="20"/>
              </w:rPr>
              <w:t>智能触控大屏</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台</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sz w:val="20"/>
                <w:szCs w:val="20"/>
              </w:rPr>
              <w:t>62</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55</w:t>
            </w:r>
            <w:r>
              <w:rPr>
                <w:rFonts w:ascii="微软雅黑" w:eastAsia="微软雅黑" w:hAnsi="微软雅黑" w:cs="微软雅黑" w:hint="eastAsia"/>
                <w:sz w:val="20"/>
                <w:szCs w:val="20"/>
              </w:rPr>
              <w:t>吋</w:t>
            </w:r>
          </w:p>
        </w:tc>
      </w:tr>
      <w:tr w:rsidR="00CE1902" w:rsidTr="00354ABE">
        <w:trPr>
          <w:trHeight w:val="416"/>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1.6</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sidRPr="00FB7409">
              <w:rPr>
                <w:rFonts w:ascii="仿宋_GB2312" w:hAnsi="宋体" w:cs="宋体" w:hint="eastAsia"/>
                <w:sz w:val="20"/>
                <w:szCs w:val="20"/>
              </w:rPr>
              <w:t>智能触控大屏</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台</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sz w:val="20"/>
                <w:szCs w:val="20"/>
              </w:rPr>
              <w:t>1</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86</w:t>
            </w:r>
            <w:r>
              <w:rPr>
                <w:rFonts w:ascii="微软雅黑" w:eastAsia="微软雅黑" w:hAnsi="微软雅黑" w:cs="微软雅黑" w:hint="eastAsia"/>
                <w:sz w:val="20"/>
                <w:szCs w:val="20"/>
              </w:rPr>
              <w:t>吋</w:t>
            </w: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w:t>
            </w:r>
            <w:r>
              <w:rPr>
                <w:rFonts w:ascii="仿宋_GB2312" w:hAnsi="宋体" w:cs="宋体"/>
                <w:sz w:val="20"/>
                <w:szCs w:val="20"/>
              </w:rPr>
              <w:t>7</w:t>
            </w:r>
          </w:p>
        </w:tc>
        <w:tc>
          <w:tcPr>
            <w:tcW w:w="791" w:type="pct"/>
            <w:tcBorders>
              <w:top w:val="single" w:sz="4" w:space="0" w:color="000000"/>
              <w:left w:val="single" w:sz="4" w:space="0" w:color="000000"/>
              <w:bottom w:val="single" w:sz="4" w:space="0" w:color="000000"/>
              <w:right w:val="single" w:sz="4" w:space="0" w:color="000000"/>
            </w:tcBorders>
            <w:vAlign w:val="center"/>
            <w:hideMark/>
          </w:tcPr>
          <w:p w:rsidR="00CE1902" w:rsidRPr="004E3D79" w:rsidRDefault="00CE1902" w:rsidP="00D573F9">
            <w:pPr>
              <w:widowControl/>
              <w:snapToGrid w:val="0"/>
              <w:jc w:val="center"/>
              <w:rPr>
                <w:rFonts w:ascii="仿宋_GB2312" w:hAnsi="宋体" w:cs="宋体"/>
                <w:sz w:val="20"/>
                <w:szCs w:val="20"/>
              </w:rPr>
            </w:pPr>
            <w:r w:rsidRPr="00FB7409">
              <w:rPr>
                <w:rFonts w:ascii="仿宋_GB2312" w:hAnsi="宋体" w:cs="宋体" w:hint="eastAsia"/>
                <w:sz w:val="20"/>
                <w:szCs w:val="20"/>
              </w:rPr>
              <w:t>护理手持终端</w:t>
            </w:r>
            <w:r w:rsidRPr="00FB7409">
              <w:rPr>
                <w:rFonts w:ascii="仿宋_GB2312" w:hAnsi="宋体" w:cs="宋体" w:hint="eastAsia"/>
                <w:sz w:val="20"/>
                <w:szCs w:val="20"/>
              </w:rPr>
              <w:t>PDA</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台</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sz w:val="20"/>
                <w:szCs w:val="20"/>
              </w:rPr>
              <w:t>220</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1.8</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sidRPr="002D2CE6">
              <w:rPr>
                <w:rFonts w:ascii="仿宋_GB2312" w:hAnsi="宋体" w:cs="宋体" w:hint="eastAsia"/>
                <w:sz w:val="20"/>
                <w:szCs w:val="20"/>
              </w:rPr>
              <w:t>查房</w:t>
            </w:r>
            <w:r w:rsidRPr="002D2CE6">
              <w:rPr>
                <w:rFonts w:ascii="仿宋_GB2312" w:hAnsi="宋体" w:cs="宋体" w:hint="eastAsia"/>
                <w:sz w:val="20"/>
                <w:szCs w:val="20"/>
              </w:rPr>
              <w:t>PAD</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台</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110</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1.9</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sidRPr="002D2CE6">
              <w:rPr>
                <w:rFonts w:ascii="仿宋_GB2312" w:hAnsi="宋体" w:cs="宋体" w:hint="eastAsia"/>
                <w:sz w:val="20"/>
                <w:szCs w:val="20"/>
              </w:rPr>
              <w:t>条码打印机</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台</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122</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lastRenderedPageBreak/>
              <w:t>1.10</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jc w:val="center"/>
              <w:rPr>
                <w:rFonts w:eastAsia="宋体"/>
                <w:color w:val="000000"/>
                <w:sz w:val="22"/>
              </w:rPr>
            </w:pPr>
            <w:r>
              <w:rPr>
                <w:rFonts w:hint="eastAsia"/>
                <w:color w:val="000000"/>
                <w:sz w:val="22"/>
              </w:rPr>
              <w:t>移动护士工作站系统</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套</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1.11</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rPr>
                <w:color w:val="000000"/>
                <w:sz w:val="22"/>
              </w:rPr>
            </w:pPr>
            <w:r>
              <w:rPr>
                <w:rFonts w:hint="eastAsia"/>
                <w:color w:val="000000"/>
                <w:sz w:val="22"/>
              </w:rPr>
              <w:t>护理文书系统</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套</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1.12</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rPr>
                <w:color w:val="000000"/>
                <w:sz w:val="22"/>
              </w:rPr>
            </w:pPr>
            <w:r>
              <w:rPr>
                <w:rFonts w:hint="eastAsia"/>
                <w:color w:val="000000"/>
                <w:sz w:val="22"/>
              </w:rPr>
              <w:t>护理质量管理系统</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套</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1.13</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rPr>
                <w:color w:val="000000"/>
                <w:sz w:val="22"/>
              </w:rPr>
            </w:pPr>
            <w:r>
              <w:rPr>
                <w:rFonts w:hint="eastAsia"/>
                <w:color w:val="000000"/>
                <w:sz w:val="22"/>
              </w:rPr>
              <w:t>护理敏感指标管理系统</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套</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1.14</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rPr>
                <w:color w:val="000000"/>
                <w:sz w:val="22"/>
              </w:rPr>
            </w:pPr>
            <w:r>
              <w:rPr>
                <w:rFonts w:hint="eastAsia"/>
                <w:color w:val="000000"/>
                <w:sz w:val="22"/>
              </w:rPr>
              <w:t>护理教育管理系统</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套</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1.15</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rPr>
                <w:color w:val="000000"/>
                <w:sz w:val="22"/>
              </w:rPr>
            </w:pPr>
            <w:r>
              <w:rPr>
                <w:rFonts w:hint="eastAsia"/>
                <w:color w:val="000000"/>
                <w:sz w:val="22"/>
              </w:rPr>
              <w:t>智能健康宣教系统</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套</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1.16</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rPr>
                <w:color w:val="000000"/>
                <w:sz w:val="22"/>
              </w:rPr>
            </w:pPr>
            <w:r>
              <w:rPr>
                <w:rFonts w:hint="eastAsia"/>
                <w:color w:val="000000"/>
                <w:sz w:val="22"/>
              </w:rPr>
              <w:t>智慧大屏交互系统</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套</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r w:rsidR="00CE1902" w:rsidTr="00354ABE">
        <w:trPr>
          <w:trHeight w:val="658"/>
        </w:trPr>
        <w:tc>
          <w:tcPr>
            <w:tcW w:w="503"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1.17</w:t>
            </w:r>
          </w:p>
        </w:tc>
        <w:tc>
          <w:tcPr>
            <w:tcW w:w="791"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接口开发</w:t>
            </w:r>
            <w:r>
              <w:rPr>
                <w:rFonts w:ascii="仿宋_GB2312" w:hAnsi="宋体" w:cs="宋体"/>
                <w:sz w:val="20"/>
                <w:szCs w:val="20"/>
              </w:rPr>
              <w:t>费</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Default="00CE1902" w:rsidP="00D573F9">
            <w:pPr>
              <w:jc w:val="center"/>
            </w:pPr>
            <w:r w:rsidRPr="00025814">
              <w:rPr>
                <w:rFonts w:ascii="仿宋_GB2312" w:hAnsi="宋体" w:cs="宋体" w:hint="eastAsia"/>
                <w:sz w:val="20"/>
                <w:szCs w:val="20"/>
              </w:rPr>
              <w:t>\</w:t>
            </w:r>
          </w:p>
        </w:tc>
        <w:tc>
          <w:tcPr>
            <w:tcW w:w="72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套</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D573F9">
            <w:pPr>
              <w:widowControl/>
              <w:snapToGrid w:val="0"/>
              <w:jc w:val="center"/>
              <w:rPr>
                <w:rFonts w:ascii="仿宋_GB2312" w:hAnsi="宋体" w:cs="宋体"/>
                <w:sz w:val="20"/>
                <w:szCs w:val="20"/>
              </w:rPr>
            </w:pPr>
            <w:r>
              <w:rPr>
                <w:rFonts w:ascii="仿宋_GB2312" w:hAnsi="宋体" w:cs="宋体" w:hint="eastAsia"/>
                <w:sz w:val="20"/>
                <w:szCs w:val="20"/>
              </w:rPr>
              <w:t>1</w:t>
            </w:r>
          </w:p>
        </w:tc>
        <w:tc>
          <w:tcPr>
            <w:tcW w:w="584"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r>
              <w:rPr>
                <w:rFonts w:ascii="仿宋_GB2312" w:hAnsi="宋体" w:cs="宋体" w:hint="eastAsia"/>
                <w:sz w:val="20"/>
                <w:szCs w:val="20"/>
              </w:rPr>
              <w:t>合同签订后</w:t>
            </w:r>
            <w:r>
              <w:rPr>
                <w:rFonts w:ascii="仿宋_GB2312" w:hAnsi="宋体" w:cs="宋体" w:hint="eastAsia"/>
                <w:sz w:val="20"/>
                <w:szCs w:val="20"/>
              </w:rPr>
              <w:t>180</w:t>
            </w:r>
            <w:r>
              <w:rPr>
                <w:rFonts w:ascii="仿宋_GB2312" w:hAnsi="宋体" w:cs="宋体" w:hint="eastAsia"/>
                <w:sz w:val="20"/>
                <w:szCs w:val="20"/>
              </w:rPr>
              <w:t>个工作日内</w:t>
            </w:r>
          </w:p>
        </w:tc>
        <w:tc>
          <w:tcPr>
            <w:tcW w:w="646" w:type="pct"/>
            <w:tcBorders>
              <w:top w:val="single" w:sz="4" w:space="0" w:color="000000"/>
              <w:left w:val="single" w:sz="4" w:space="0" w:color="000000"/>
              <w:bottom w:val="single" w:sz="4" w:space="0" w:color="000000"/>
              <w:right w:val="single" w:sz="4" w:space="0" w:color="000000"/>
            </w:tcBorders>
            <w:vAlign w:val="center"/>
          </w:tcPr>
          <w:p w:rsidR="00CE1902" w:rsidRPr="004E3D79" w:rsidRDefault="00CE1902" w:rsidP="00A121B6">
            <w:pPr>
              <w:widowControl/>
              <w:snapToGrid w:val="0"/>
              <w:jc w:val="center"/>
              <w:rPr>
                <w:rFonts w:ascii="仿宋_GB2312" w:hAnsi="宋体" w:cs="宋体"/>
                <w:sz w:val="20"/>
                <w:szCs w:val="20"/>
              </w:rPr>
            </w:pPr>
          </w:p>
        </w:tc>
      </w:tr>
    </w:tbl>
    <w:p w:rsidR="00354ABE" w:rsidRPr="00CE1902" w:rsidRDefault="00354ABE" w:rsidP="00354ABE">
      <w:pPr>
        <w:rPr>
          <w:rFonts w:ascii="Times New Roman" w:eastAsia="黑体" w:hAnsi="黑体" w:cs="Times New Roman"/>
          <w:sz w:val="32"/>
          <w:szCs w:val="32"/>
        </w:rPr>
      </w:pPr>
      <w:r w:rsidRPr="00CE1902">
        <w:rPr>
          <w:rFonts w:ascii="Times New Roman" w:eastAsia="黑体" w:hAnsi="黑体" w:cs="Times New Roman" w:hint="eastAsia"/>
          <w:sz w:val="32"/>
          <w:szCs w:val="32"/>
        </w:rPr>
        <w:t>一、采购需求基本情况</w:t>
      </w:r>
    </w:p>
    <w:p w:rsidR="00354ABE"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医院目前的移动护理系统不健全，急需建设全套完整的移动护理管理平台，减少护士来回奔波于病房和办公室的次数，实现在床旁直接查看病人信息、执行护理表单录入、医嘱执行等操作，精简工作流程，有效提高护士的工作效率，规范护士的日常工作，杜绝经验主义，避免诊疗和护理的差错。现计划建设移动护理管理平台，保障医疗护理安全，提高护理工作效率。该平台包含移动护士工作站系统、护理文书系统、护理质量管理系统、护理敏感质量指标管理系统、</w:t>
      </w:r>
      <w:r w:rsidRPr="00CE1902">
        <w:rPr>
          <w:rFonts w:ascii="仿宋_GB2312" w:eastAsia="仿宋_GB2312" w:hint="eastAsia"/>
          <w:sz w:val="32"/>
          <w:szCs w:val="32"/>
        </w:rPr>
        <w:lastRenderedPageBreak/>
        <w:t>护理教育管理系统、智能健康宣教系统、智慧大屏交互系统及手持终端(PDA)、平板电脑、智能触控大屏等硬件设备建设；并结合护理呼叫系统，实现病区内医护</w:t>
      </w:r>
      <w:proofErr w:type="gramStart"/>
      <w:r w:rsidRPr="00CE1902">
        <w:rPr>
          <w:rFonts w:ascii="仿宋_GB2312" w:eastAsia="仿宋_GB2312" w:hint="eastAsia"/>
          <w:sz w:val="32"/>
          <w:szCs w:val="32"/>
        </w:rPr>
        <w:t>患数据</w:t>
      </w:r>
      <w:proofErr w:type="gramEnd"/>
      <w:r w:rsidRPr="00CE1902">
        <w:rPr>
          <w:rFonts w:ascii="仿宋_GB2312" w:eastAsia="仿宋_GB2312" w:hint="eastAsia"/>
          <w:sz w:val="32"/>
          <w:szCs w:val="32"/>
        </w:rPr>
        <w:t>的互联互通，保障医疗信息的及时性、一致性和全面性，为医护人员提供更加安全、便捷、高效的技术和业务支撑，为临床一线管理人员提供更加规范化、精细化的管理支持，为医院领导和卫生管理部门提供更加及时、准确的决策支持，为患者和辖区内居民提供更加专业化、人性化的诊疗和护理服务，从而进一步提升医疗管理质量，提高患者满意度。</w:t>
      </w:r>
    </w:p>
    <w:p w:rsidR="00CE1902" w:rsidRDefault="00CE1902" w:rsidP="00CE1902">
      <w:pPr>
        <w:ind w:firstLineChars="200" w:firstLine="640"/>
        <w:rPr>
          <w:rFonts w:ascii="Times New Roman" w:eastAsia="黑体" w:hAnsi="黑体" w:cs="Times New Roman" w:hint="eastAsia"/>
          <w:sz w:val="32"/>
          <w:szCs w:val="32"/>
        </w:rPr>
      </w:pPr>
      <w:r w:rsidRPr="00CE1902">
        <w:rPr>
          <w:rFonts w:ascii="Times New Roman" w:eastAsia="黑体" w:hAnsi="黑体" w:cs="Times New Roman" w:hint="eastAsia"/>
          <w:sz w:val="32"/>
          <w:szCs w:val="32"/>
        </w:rPr>
        <w:t>二、货款及运杂费结算方式</w:t>
      </w:r>
    </w:p>
    <w:p w:rsidR="00CE1902" w:rsidRPr="00CE1902" w:rsidRDefault="00CE1902" w:rsidP="00CE1902">
      <w:pPr>
        <w:spacing w:line="579" w:lineRule="exact"/>
        <w:ind w:firstLineChars="200" w:firstLine="640"/>
        <w:rPr>
          <w:rFonts w:ascii="仿宋_GB2312" w:eastAsia="仿宋_GB2312"/>
          <w:sz w:val="32"/>
          <w:szCs w:val="32"/>
        </w:rPr>
      </w:pPr>
      <w:r w:rsidRPr="00CE1902">
        <w:rPr>
          <w:rFonts w:ascii="仿宋_GB2312" w:eastAsia="仿宋_GB2312" w:hint="eastAsia"/>
          <w:sz w:val="32"/>
          <w:szCs w:val="32"/>
        </w:rPr>
        <w:t>中标方中标价即为合同价，合同价包含货款、利润、税金、装卸载费、运杂费、安装费、人员培训费、售后服务费及相应的不可预测风险等一切费用。</w:t>
      </w:r>
    </w:p>
    <w:p w:rsidR="00CE1902" w:rsidRPr="00CE1902" w:rsidRDefault="00CE1902" w:rsidP="00CE1902">
      <w:pPr>
        <w:spacing w:line="579" w:lineRule="exact"/>
        <w:ind w:firstLineChars="200" w:firstLine="640"/>
        <w:rPr>
          <w:rFonts w:ascii="仿宋_GB2312" w:eastAsia="仿宋_GB2312"/>
          <w:sz w:val="32"/>
          <w:szCs w:val="32"/>
        </w:rPr>
      </w:pPr>
      <w:r w:rsidRPr="00CE1902">
        <w:rPr>
          <w:rFonts w:ascii="仿宋_GB2312" w:eastAsia="仿宋_GB2312" w:hint="eastAsia"/>
          <w:sz w:val="32"/>
          <w:szCs w:val="32"/>
        </w:rPr>
        <w:t>签订</w:t>
      </w:r>
      <w:r w:rsidRPr="00CE1902">
        <w:rPr>
          <w:rFonts w:ascii="仿宋_GB2312" w:eastAsia="仿宋_GB2312"/>
          <w:sz w:val="32"/>
          <w:szCs w:val="32"/>
        </w:rPr>
        <w:t>合同后预付货款</w:t>
      </w:r>
      <w:r w:rsidRPr="00CE1902">
        <w:rPr>
          <w:rFonts w:ascii="仿宋_GB2312" w:eastAsia="仿宋_GB2312" w:hint="eastAsia"/>
          <w:sz w:val="32"/>
          <w:szCs w:val="32"/>
        </w:rPr>
        <w:t>20</w:t>
      </w:r>
      <w:r w:rsidRPr="00CE1902">
        <w:rPr>
          <w:rFonts w:ascii="仿宋_GB2312" w:eastAsia="仿宋_GB2312"/>
          <w:sz w:val="32"/>
          <w:szCs w:val="32"/>
        </w:rPr>
        <w:t>%，</w:t>
      </w:r>
      <w:r w:rsidRPr="00CE1902">
        <w:rPr>
          <w:rFonts w:ascii="仿宋_GB2312" w:eastAsia="仿宋_GB2312" w:hint="eastAsia"/>
          <w:sz w:val="32"/>
          <w:szCs w:val="32"/>
        </w:rPr>
        <w:t>合同</w:t>
      </w:r>
      <w:r w:rsidRPr="00CE1902">
        <w:rPr>
          <w:rFonts w:ascii="仿宋_GB2312" w:eastAsia="仿宋_GB2312"/>
          <w:sz w:val="32"/>
          <w:szCs w:val="32"/>
        </w:rPr>
        <w:t>所列系统</w:t>
      </w:r>
      <w:r w:rsidRPr="00CE1902">
        <w:rPr>
          <w:rFonts w:ascii="仿宋_GB2312" w:eastAsia="仿宋_GB2312" w:hint="eastAsia"/>
          <w:sz w:val="32"/>
          <w:szCs w:val="32"/>
        </w:rPr>
        <w:t>及</w:t>
      </w:r>
      <w:r w:rsidRPr="00CE1902">
        <w:rPr>
          <w:rFonts w:ascii="仿宋_GB2312" w:eastAsia="仿宋_GB2312"/>
          <w:sz w:val="32"/>
          <w:szCs w:val="32"/>
        </w:rPr>
        <w:t>硬件设备</w:t>
      </w:r>
      <w:r w:rsidRPr="00CE1902">
        <w:rPr>
          <w:rFonts w:ascii="仿宋_GB2312" w:eastAsia="仿宋_GB2312" w:hint="eastAsia"/>
          <w:sz w:val="32"/>
          <w:szCs w:val="32"/>
        </w:rPr>
        <w:t>安装调试运行正常、验收合格后</w:t>
      </w:r>
      <w:r w:rsidRPr="00CE1902">
        <w:rPr>
          <w:rFonts w:ascii="仿宋_GB2312" w:eastAsia="仿宋_GB2312"/>
          <w:sz w:val="32"/>
          <w:szCs w:val="32"/>
        </w:rPr>
        <w:t>，合同乙方向采购单位提交硬件设备交接单、发票</w:t>
      </w:r>
      <w:r w:rsidRPr="00CE1902">
        <w:rPr>
          <w:rFonts w:ascii="仿宋_GB2312" w:eastAsia="仿宋_GB2312" w:hint="eastAsia"/>
          <w:sz w:val="32"/>
          <w:szCs w:val="32"/>
        </w:rPr>
        <w:t>、</w:t>
      </w:r>
      <w:r w:rsidRPr="00CE1902">
        <w:rPr>
          <w:rFonts w:ascii="仿宋_GB2312" w:eastAsia="仿宋_GB2312"/>
          <w:sz w:val="32"/>
          <w:szCs w:val="32"/>
        </w:rPr>
        <w:t>项目验收报告等结算资料，采购单位在</w:t>
      </w:r>
      <w:r w:rsidRPr="00CE1902">
        <w:rPr>
          <w:rFonts w:ascii="仿宋_GB2312" w:eastAsia="仿宋_GB2312" w:hint="eastAsia"/>
          <w:sz w:val="32"/>
          <w:szCs w:val="32"/>
        </w:rPr>
        <w:t>90天</w:t>
      </w:r>
      <w:r w:rsidRPr="00CE1902">
        <w:rPr>
          <w:rFonts w:ascii="仿宋_GB2312" w:eastAsia="仿宋_GB2312"/>
          <w:sz w:val="32"/>
          <w:szCs w:val="32"/>
        </w:rPr>
        <w:t>内向乙方支付</w:t>
      </w:r>
      <w:r w:rsidRPr="00CE1902">
        <w:rPr>
          <w:rFonts w:ascii="仿宋_GB2312" w:eastAsia="仿宋_GB2312" w:hint="eastAsia"/>
          <w:sz w:val="32"/>
          <w:szCs w:val="32"/>
        </w:rPr>
        <w:t>合同总金额</w:t>
      </w:r>
      <w:r w:rsidRPr="00CE1902">
        <w:rPr>
          <w:rFonts w:ascii="仿宋_GB2312" w:eastAsia="仿宋_GB2312"/>
          <w:sz w:val="32"/>
          <w:szCs w:val="32"/>
        </w:rPr>
        <w:t>7</w:t>
      </w:r>
      <w:r w:rsidRPr="00CE1902">
        <w:rPr>
          <w:rFonts w:ascii="仿宋_GB2312" w:eastAsia="仿宋_GB2312" w:hint="eastAsia"/>
          <w:sz w:val="32"/>
          <w:szCs w:val="32"/>
        </w:rPr>
        <w:t>5%的货款，剩余5%合同款作为质量保证金，在质保期届满后9</w:t>
      </w:r>
      <w:r w:rsidRPr="00CE1902">
        <w:rPr>
          <w:rFonts w:ascii="仿宋_GB2312" w:eastAsia="仿宋_GB2312"/>
          <w:sz w:val="32"/>
          <w:szCs w:val="32"/>
        </w:rPr>
        <w:t>0</w:t>
      </w:r>
      <w:r w:rsidRPr="00CE1902">
        <w:rPr>
          <w:rFonts w:ascii="仿宋_GB2312" w:eastAsia="仿宋_GB2312" w:hint="eastAsia"/>
          <w:sz w:val="32"/>
          <w:szCs w:val="32"/>
        </w:rPr>
        <w:t>天内由甲方一次性无息退还。</w:t>
      </w:r>
    </w:p>
    <w:p w:rsidR="00CE1902" w:rsidRDefault="00CE1902" w:rsidP="00CE1902">
      <w:pPr>
        <w:ind w:firstLineChars="200" w:firstLine="640"/>
        <w:rPr>
          <w:rFonts w:ascii="仿宋_GB2312" w:eastAsia="仿宋_GB2312" w:hint="eastAsia"/>
          <w:sz w:val="32"/>
          <w:szCs w:val="32"/>
        </w:rPr>
      </w:pPr>
      <w:proofErr w:type="gramStart"/>
      <w:r w:rsidRPr="00CE1902">
        <w:rPr>
          <w:rFonts w:ascii="仿宋_GB2312" w:eastAsia="仿宋_GB2312" w:hint="eastAsia"/>
          <w:sz w:val="32"/>
          <w:szCs w:val="32"/>
        </w:rPr>
        <w:t>中标商</w:t>
      </w:r>
      <w:proofErr w:type="gramEnd"/>
      <w:r w:rsidRPr="00CE1902">
        <w:rPr>
          <w:rFonts w:ascii="仿宋_GB2312" w:eastAsia="仿宋_GB2312" w:hint="eastAsia"/>
          <w:sz w:val="32"/>
          <w:szCs w:val="32"/>
        </w:rPr>
        <w:t>签订采购合同前，应按合同金额的 5% 向采购单位提交履约保证金，合同履行货物验收合格后，采购单位退回履约保证金。</w:t>
      </w:r>
    </w:p>
    <w:p w:rsidR="00CE1902" w:rsidRPr="00CE1902" w:rsidRDefault="00CE1902" w:rsidP="00CE1902">
      <w:pPr>
        <w:spacing w:line="579" w:lineRule="exact"/>
        <w:ind w:firstLineChars="200" w:firstLine="640"/>
        <w:rPr>
          <w:rFonts w:ascii="黑体" w:eastAsia="黑体" w:hAnsi="黑体"/>
          <w:sz w:val="32"/>
          <w:szCs w:val="32"/>
        </w:rPr>
      </w:pPr>
      <w:r w:rsidRPr="00CE1902">
        <w:rPr>
          <w:rFonts w:ascii="黑体" w:eastAsia="黑体" w:hAnsi="黑体" w:hint="eastAsia"/>
          <w:sz w:val="32"/>
          <w:szCs w:val="32"/>
        </w:rPr>
        <w:t>三、</w:t>
      </w:r>
      <w:r w:rsidRPr="00CE1902">
        <w:rPr>
          <w:rFonts w:ascii="黑体" w:eastAsia="黑体" w:hAnsi="黑体"/>
          <w:sz w:val="32"/>
          <w:szCs w:val="32"/>
        </w:rPr>
        <w:t>供应商专业资格条件及理由</w:t>
      </w:r>
      <w:r w:rsidRPr="00CE1902">
        <w:rPr>
          <w:rFonts w:ascii="黑体" w:eastAsia="黑体" w:hAnsi="黑体" w:hint="eastAsia"/>
          <w:sz w:val="32"/>
          <w:szCs w:val="32"/>
        </w:rPr>
        <w:t>(含授权要求 )</w:t>
      </w:r>
    </w:p>
    <w:p w:rsidR="00CE1902" w:rsidRPr="00CE1902" w:rsidRDefault="00CE1902" w:rsidP="00CE1902">
      <w:pPr>
        <w:spacing w:line="579" w:lineRule="exact"/>
        <w:ind w:firstLineChars="200" w:firstLine="640"/>
        <w:rPr>
          <w:rFonts w:ascii="仿宋_GB2312" w:eastAsia="仿宋_GB2312" w:hAnsi="仿宋" w:hint="eastAsia"/>
          <w:color w:val="000000"/>
          <w:sz w:val="32"/>
          <w:szCs w:val="32"/>
        </w:rPr>
      </w:pPr>
      <w:r w:rsidRPr="00CE1902">
        <w:rPr>
          <w:rFonts w:ascii="仿宋_GB2312" w:eastAsia="仿宋_GB2312" w:hAnsi="仿宋" w:hint="eastAsia"/>
          <w:sz w:val="32"/>
          <w:szCs w:val="32"/>
        </w:rPr>
        <w:lastRenderedPageBreak/>
        <w:t>1.</w:t>
      </w:r>
      <w:r w:rsidRPr="00CE1902">
        <w:rPr>
          <w:rFonts w:ascii="仿宋_GB2312" w:eastAsia="仿宋_GB2312" w:hAnsi="仿宋" w:hint="eastAsia"/>
          <w:color w:val="000000"/>
          <w:sz w:val="32"/>
          <w:szCs w:val="32"/>
        </w:rPr>
        <w:t xml:space="preserve"> 软件生产企业具有投标产品相关的软件著作权证书。</w:t>
      </w:r>
    </w:p>
    <w:p w:rsidR="00CE1902" w:rsidRPr="00CE1902" w:rsidRDefault="00CE1902" w:rsidP="00CE1902">
      <w:pPr>
        <w:ind w:firstLineChars="200" w:firstLine="640"/>
        <w:rPr>
          <w:rFonts w:ascii="黑体" w:eastAsia="黑体" w:hAnsi="黑体" w:hint="eastAsia"/>
          <w:sz w:val="32"/>
          <w:szCs w:val="32"/>
        </w:rPr>
      </w:pPr>
      <w:r w:rsidRPr="00CE1902">
        <w:rPr>
          <w:rFonts w:ascii="黑体" w:eastAsia="黑体" w:hAnsi="黑体" w:hint="eastAsia"/>
          <w:sz w:val="32"/>
          <w:szCs w:val="32"/>
        </w:rPr>
        <w:t>四、项目技术要求</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（一）总体要求</w:t>
      </w:r>
    </w:p>
    <w:p w:rsidR="00CE1902" w:rsidRPr="00CE1902" w:rsidRDefault="00CE1902" w:rsidP="00CE1902">
      <w:pPr>
        <w:ind w:firstLineChars="200" w:firstLine="640"/>
        <w:rPr>
          <w:rFonts w:ascii="仿宋_GB2312" w:eastAsia="仿宋_GB2312" w:hint="eastAsia"/>
          <w:sz w:val="32"/>
          <w:szCs w:val="32"/>
        </w:rPr>
      </w:pPr>
      <w:bookmarkStart w:id="0" w:name="_GoBack"/>
      <w:bookmarkEnd w:id="0"/>
      <w:r w:rsidRPr="00CE1902">
        <w:rPr>
          <w:rFonts w:ascii="仿宋_GB2312" w:eastAsia="仿宋_GB2312" w:hint="eastAsia"/>
          <w:sz w:val="32"/>
          <w:szCs w:val="32"/>
        </w:rPr>
        <w:t>1.中标人须提供现场专业技术咨询、安装、调试、初验、终验和试运行保障及维修保养服务（提供安装、测试所用的测试设备、工具等），并按照招标方要求进行产品客户化。在投标文件中提交安装、调试、验收实施计划书，在安装调试验收无误后，提交安装实施、调试、检测报告、验收报告、技术资料、系统技术说明书、使用说明书、维护手册等。</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2.★软件生产企业具有CMMI5软件成熟度证书。</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3.★软件生产企业具有近四年3个以上三级甲等医院移动护理类（包含移动护理、智慧护理、护理信息化等）实施案例（提供合同原件）。</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4.★投标企业具有信息技术服务运行标准符合性证书ITSS（三级及以上）。</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5.★投标企业具有软件成熟度CMMI 3证书。</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6.★硬件设备为国产一线主流产品。</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7.各系统须满足医院</w:t>
      </w:r>
      <w:proofErr w:type="gramStart"/>
      <w:r w:rsidRPr="00CE1902">
        <w:rPr>
          <w:rFonts w:ascii="仿宋_GB2312" w:eastAsia="仿宋_GB2312" w:hint="eastAsia"/>
          <w:sz w:val="32"/>
          <w:szCs w:val="32"/>
        </w:rPr>
        <w:t>三级等保建设</w:t>
      </w:r>
      <w:proofErr w:type="gramEnd"/>
      <w:r w:rsidRPr="00CE1902">
        <w:rPr>
          <w:rFonts w:ascii="仿宋_GB2312" w:eastAsia="仿宋_GB2312" w:hint="eastAsia"/>
          <w:sz w:val="32"/>
          <w:szCs w:val="32"/>
        </w:rPr>
        <w:t>要求。</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（二）软件开发要求</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1.个性化定制</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项目实施中所有系统功能模块（如护理文书、护理评估等系统功能模块）必须满足用户的个性化需求，定制并扩展</w:t>
      </w:r>
      <w:r w:rsidRPr="00CE1902">
        <w:rPr>
          <w:rFonts w:ascii="仿宋_GB2312" w:eastAsia="仿宋_GB2312" w:hint="eastAsia"/>
          <w:sz w:val="32"/>
          <w:szCs w:val="32"/>
        </w:rPr>
        <w:lastRenderedPageBreak/>
        <w:t>其他功能模块（不仅限于招标文件中所列各系统功能，以满足科室功能需求为主），</w:t>
      </w:r>
      <w:proofErr w:type="gramStart"/>
      <w:r w:rsidRPr="00CE1902">
        <w:rPr>
          <w:rFonts w:ascii="仿宋_GB2312" w:eastAsia="仿宋_GB2312" w:hint="eastAsia"/>
          <w:sz w:val="32"/>
          <w:szCs w:val="32"/>
        </w:rPr>
        <w:t>中标商</w:t>
      </w:r>
      <w:proofErr w:type="gramEnd"/>
      <w:r w:rsidRPr="00CE1902">
        <w:rPr>
          <w:rFonts w:ascii="仿宋_GB2312" w:eastAsia="仿宋_GB2312" w:hint="eastAsia"/>
          <w:sz w:val="32"/>
          <w:szCs w:val="32"/>
        </w:rPr>
        <w:t>在软件上线前请与医院护理部、临床科室和信息科做好沟通确认，所有费用包含在此次中标费用中。</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2.系统接口</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满足与医院HIS、LIS、PACS、输血系统、护理呼叫系统、手术麻醉系统、静脉配液系统、集成平台、医疗数据中心、护理教育考试（APP）等系统的无缝对接，医院配合与第三方公司协调沟通，</w:t>
      </w:r>
      <w:proofErr w:type="gramStart"/>
      <w:r w:rsidRPr="00CE1902">
        <w:rPr>
          <w:rFonts w:ascii="仿宋_GB2312" w:eastAsia="仿宋_GB2312" w:hint="eastAsia"/>
          <w:sz w:val="32"/>
          <w:szCs w:val="32"/>
        </w:rPr>
        <w:t>中标商</w:t>
      </w:r>
      <w:proofErr w:type="gramEnd"/>
      <w:r w:rsidRPr="00CE1902">
        <w:rPr>
          <w:rFonts w:ascii="仿宋_GB2312" w:eastAsia="仿宋_GB2312" w:hint="eastAsia"/>
          <w:sz w:val="32"/>
          <w:szCs w:val="32"/>
        </w:rPr>
        <w:t>承担对接过程中所产生的一切费用。</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3.数据库要求</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（1）支持Oracle、SQL Server、</w:t>
      </w:r>
      <w:proofErr w:type="spellStart"/>
      <w:r w:rsidRPr="00CE1902">
        <w:rPr>
          <w:rFonts w:ascii="仿宋_GB2312" w:eastAsia="仿宋_GB2312" w:hint="eastAsia"/>
          <w:sz w:val="32"/>
          <w:szCs w:val="32"/>
        </w:rPr>
        <w:t>Mysql</w:t>
      </w:r>
      <w:proofErr w:type="spellEnd"/>
      <w:r w:rsidRPr="00CE1902">
        <w:rPr>
          <w:rFonts w:ascii="仿宋_GB2312" w:eastAsia="仿宋_GB2312" w:hint="eastAsia"/>
          <w:sz w:val="32"/>
          <w:szCs w:val="32"/>
        </w:rPr>
        <w:t>等主流数据库，数据同步和更新时间≤5s。数据库自行添加数据字典，实现对数据字典的添加、修改、删除等操作。其中Oracle数据库支持10g、11g及以上所有版本；SQL数据库支持2016、2017及以上所有版本。</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（2）根据国家和医院政策规定，选用的数据库后期必须能够支持升级到国产数据库。</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4.系统架构</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要求各系统基于B/S架构开发，所有系统PC</w:t>
      </w:r>
      <w:proofErr w:type="gramStart"/>
      <w:r w:rsidRPr="00CE1902">
        <w:rPr>
          <w:rFonts w:ascii="仿宋_GB2312" w:eastAsia="仿宋_GB2312" w:hint="eastAsia"/>
          <w:sz w:val="32"/>
          <w:szCs w:val="32"/>
        </w:rPr>
        <w:t>端统一</w:t>
      </w:r>
      <w:proofErr w:type="gramEnd"/>
      <w:r w:rsidRPr="00CE1902">
        <w:rPr>
          <w:rFonts w:ascii="仿宋_GB2312" w:eastAsia="仿宋_GB2312" w:hint="eastAsia"/>
          <w:sz w:val="32"/>
          <w:szCs w:val="32"/>
        </w:rPr>
        <w:t>单点登录，支持院内HIS统一的用户账户体系。</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5.服务器操作系统及管理软件</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1）支持采用集中式数据管理，便于数据备份、维护及</w:t>
      </w:r>
      <w:r w:rsidRPr="00CE1902">
        <w:rPr>
          <w:rFonts w:ascii="仿宋_GB2312" w:eastAsia="仿宋_GB2312" w:hint="eastAsia"/>
          <w:sz w:val="32"/>
          <w:szCs w:val="32"/>
        </w:rPr>
        <w:lastRenderedPageBreak/>
        <w:t xml:space="preserve">统计分析； </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2）要求所有服务器安装正版操作系统及原厂服务器管理套件。</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3）支持大规模终端远程访问控制，保证系统的安全性和稳定性。</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6.中标厂商在项目实施时预留所有的CA 认证接口，在投标文件中明确承诺后期医院CA认证项目上线时免费配合接入；此项目在移动终端、电脑端等相关系统使用时具备电子化签名即可。</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 xml:space="preserve">（三）硬件设备安装实施要求 </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1. 安装要求：中标人须按合同约定、招标文件规定、中标人投标文件承诺将设备送达指定地点，并保证按合同要求按时完成软件开发和设备安装、调试、启动、运行等 工作；新设备安装过程中涉及管道、线路等各种问题均由安装厂家自行解决；新布线路中光纤、网线、电源均需进弱电桥架，没有桥架的需穿管布线；室内走线需安装线槽，做到横平竖直。</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2.调试要求：供应商应按照合同要求测试所有硬件、软件，保证功能满足招标方运行要求，负责合同中所有设备的现场安装管理、现场验收测试。</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3.要求拆除所有病区护士站原护理呼叫电视屏（打包运送至甲方指定场所，费用由</w:t>
      </w:r>
      <w:proofErr w:type="gramStart"/>
      <w:r w:rsidRPr="00CE1902">
        <w:rPr>
          <w:rFonts w:ascii="仿宋_GB2312" w:eastAsia="仿宋_GB2312" w:hint="eastAsia"/>
          <w:sz w:val="32"/>
          <w:szCs w:val="32"/>
        </w:rPr>
        <w:t>中标商</w:t>
      </w:r>
      <w:proofErr w:type="gramEnd"/>
      <w:r w:rsidRPr="00CE1902">
        <w:rPr>
          <w:rFonts w:ascii="仿宋_GB2312" w:eastAsia="仿宋_GB2312" w:hint="eastAsia"/>
          <w:sz w:val="32"/>
          <w:szCs w:val="32"/>
        </w:rPr>
        <w:t>承担）；</w:t>
      </w:r>
      <w:proofErr w:type="gramStart"/>
      <w:r w:rsidRPr="00CE1902">
        <w:rPr>
          <w:rFonts w:ascii="仿宋_GB2312" w:eastAsia="仿宋_GB2312" w:hint="eastAsia"/>
          <w:sz w:val="32"/>
          <w:szCs w:val="32"/>
        </w:rPr>
        <w:t>中标商</w:t>
      </w:r>
      <w:proofErr w:type="gramEnd"/>
      <w:r w:rsidRPr="00CE1902">
        <w:rPr>
          <w:rFonts w:ascii="仿宋_GB2312" w:eastAsia="仿宋_GB2312" w:hint="eastAsia"/>
          <w:sz w:val="32"/>
          <w:szCs w:val="32"/>
        </w:rPr>
        <w:t>在对该项</w:t>
      </w:r>
      <w:r w:rsidRPr="00CE1902">
        <w:rPr>
          <w:rFonts w:ascii="仿宋_GB2312" w:eastAsia="仿宋_GB2312" w:hint="eastAsia"/>
          <w:sz w:val="32"/>
          <w:szCs w:val="32"/>
        </w:rPr>
        <w:lastRenderedPageBreak/>
        <w:t>目实施时注意室内吊顶、墙面、弱电间等成品设备保护，若由</w:t>
      </w:r>
      <w:proofErr w:type="gramStart"/>
      <w:r w:rsidRPr="00CE1902">
        <w:rPr>
          <w:rFonts w:ascii="仿宋_GB2312" w:eastAsia="仿宋_GB2312" w:hint="eastAsia"/>
          <w:sz w:val="32"/>
          <w:szCs w:val="32"/>
        </w:rPr>
        <w:t>中标商</w:t>
      </w:r>
      <w:proofErr w:type="gramEnd"/>
      <w:r w:rsidRPr="00CE1902">
        <w:rPr>
          <w:rFonts w:ascii="仿宋_GB2312" w:eastAsia="仿宋_GB2312" w:hint="eastAsia"/>
          <w:sz w:val="32"/>
          <w:szCs w:val="32"/>
        </w:rPr>
        <w:t>施工人员导致设备损坏及导致严重后果的，费用由</w:t>
      </w:r>
      <w:proofErr w:type="gramStart"/>
      <w:r w:rsidRPr="00CE1902">
        <w:rPr>
          <w:rFonts w:ascii="仿宋_GB2312" w:eastAsia="仿宋_GB2312" w:hint="eastAsia"/>
          <w:sz w:val="32"/>
          <w:szCs w:val="32"/>
        </w:rPr>
        <w:t>中标商</w:t>
      </w:r>
      <w:proofErr w:type="gramEnd"/>
      <w:r w:rsidRPr="00CE1902">
        <w:rPr>
          <w:rFonts w:ascii="仿宋_GB2312" w:eastAsia="仿宋_GB2312" w:hint="eastAsia"/>
          <w:sz w:val="32"/>
          <w:szCs w:val="32"/>
        </w:rPr>
        <w:t>承担并对其进行一定的处罚。</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4.本项目采购的62台55英寸和1台86英寸智能交互大屏安装方式根据病区现场情况由甲方选择，包含墙壁挂装和移动支架安装，所有安装费和移动支架费包含在本次招标费用中。</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（四）验收要求</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1.验收依据</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招标</w:t>
      </w:r>
      <w:proofErr w:type="gramStart"/>
      <w:r w:rsidRPr="00CE1902">
        <w:rPr>
          <w:rFonts w:ascii="仿宋_GB2312" w:eastAsia="仿宋_GB2312" w:hint="eastAsia"/>
          <w:sz w:val="32"/>
          <w:szCs w:val="32"/>
        </w:rPr>
        <w:t>方需求</w:t>
      </w:r>
      <w:proofErr w:type="gramEnd"/>
      <w:r w:rsidRPr="00CE1902">
        <w:rPr>
          <w:rFonts w:ascii="仿宋_GB2312" w:eastAsia="仿宋_GB2312" w:hint="eastAsia"/>
          <w:sz w:val="32"/>
          <w:szCs w:val="32"/>
        </w:rPr>
        <w:t>部门按实际情况成立验收工作小组，依据招标文件规定、中标人投标文件承诺及国家有关规定组织验收工作。</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2.验收程序步骤</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1）收货验收：货物运至指定地点后，需求部门对提交的货物依据招标文件上的技术规格要求、中标人投标文件响应、中标人交货清单和国家有关质量标准组织现场初步验收，外观、产品质检卡、说明书、合格证符合招标文件要求的，给予验收。</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（2）最终验收：中标人安装、调试、培训完毕，提交竣工验收报告和验收申请，系统正常运行30个工作日后组织终验。</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（3）若验收不合格，中标人需在限定期限内完成整改，</w:t>
      </w:r>
      <w:r w:rsidRPr="00CE1902">
        <w:rPr>
          <w:rFonts w:ascii="仿宋_GB2312" w:eastAsia="仿宋_GB2312" w:hint="eastAsia"/>
          <w:sz w:val="32"/>
          <w:szCs w:val="32"/>
        </w:rPr>
        <w:lastRenderedPageBreak/>
        <w:t>若整改达不到要求，则扣除履约保证金，取消其中标资格，承担相应的合同违约责任。</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（五）其他要求</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1.因施工引发的人员安全事故或对弱电井、顶棚、墙面等成品设备造成损坏的由中标人承担全部责任，与招标单位无关。</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2.本项目包含旧设备拆除、搬运、施工、处理、新设备运输、装卸、保管、安装、调试检验、培训等一切费用，甲方不再另行支付其他费用。</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（六）售后服务</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1.质量保证期：</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（1）自招标方竣工验收合格之日起3年。</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（2）质保期内中标单位须无偿提供人员和技术支持。</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（3）中标方对提供的货物在质保期内，因产品质量而导致的缺陷，必须免费提供包修、包换、包退服务。</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（4）质保期满后，招标方有权自由选择维修单位，如委托给中标人，中标人不得借故推诿，且维修费及易损易耗件更换须优于市场价格。</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（5）质保期满后，各系统软件升级费由甲乙双方协商确定。</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2.故障修复时限</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中标人提供全天候7×24小时的故障维护服务和技术业</w:t>
      </w:r>
      <w:r w:rsidRPr="00CE1902">
        <w:rPr>
          <w:rFonts w:ascii="仿宋_GB2312" w:eastAsia="仿宋_GB2312" w:hint="eastAsia"/>
          <w:sz w:val="32"/>
          <w:szCs w:val="32"/>
        </w:rPr>
        <w:lastRenderedPageBreak/>
        <w:t>务咨询服务，并提供至少1名驻场工程师负责及时解决软硬件出现的故障。接到故障报修后，10分钟内响应，60分钟到达现场排除故障。驻场维修人员不能排除故障时，中标人应负责通知生产厂家在48小时内派专业技术人员到现场解决故障，其费用由中标人自行承担。</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3.</w:t>
      </w:r>
      <w:proofErr w:type="gramStart"/>
      <w:r w:rsidRPr="00CE1902">
        <w:rPr>
          <w:rFonts w:ascii="仿宋_GB2312" w:eastAsia="仿宋_GB2312" w:hint="eastAsia"/>
          <w:sz w:val="32"/>
          <w:szCs w:val="32"/>
        </w:rPr>
        <w:t>维保服务</w:t>
      </w:r>
      <w:proofErr w:type="gramEnd"/>
      <w:r w:rsidRPr="00CE1902">
        <w:rPr>
          <w:rFonts w:ascii="仿宋_GB2312" w:eastAsia="仿宋_GB2312" w:hint="eastAsia"/>
          <w:sz w:val="32"/>
          <w:szCs w:val="32"/>
        </w:rPr>
        <w:t>内容及要求</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（1）中标人须负责所投产品的售后服务，服务期自验收合格之日起计算。在服务期内须对所涉及的全部产品出现的故障进行维护，保障系统设备处于完好运行状态。</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（2）中标人每季度对各个系统、服务器、终端设备进行排查巡检和维护工作，做好设备的运行记录。</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（3）与厂家进行技术沟通，做好平台软件的更新、升级、个性化开发等工作。</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（4）</w:t>
      </w:r>
      <w:proofErr w:type="gramStart"/>
      <w:r w:rsidRPr="00CE1902">
        <w:rPr>
          <w:rFonts w:ascii="仿宋_GB2312" w:eastAsia="仿宋_GB2312" w:hint="eastAsia"/>
          <w:sz w:val="32"/>
          <w:szCs w:val="32"/>
        </w:rPr>
        <w:t>维修维保时</w:t>
      </w:r>
      <w:proofErr w:type="gramEnd"/>
      <w:r w:rsidRPr="00CE1902">
        <w:rPr>
          <w:rFonts w:ascii="仿宋_GB2312" w:eastAsia="仿宋_GB2312" w:hint="eastAsia"/>
          <w:sz w:val="32"/>
          <w:szCs w:val="32"/>
        </w:rPr>
        <w:t>应当使用原厂正品配件材料，不得使用假冒伪劣配件，并按规定留存配件来源凭证。</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4. 投标人应在投标文件制定详细的培训计划，制作并提供所有必要的培训手册。培训需根据招标人需要，合理安排，以满足系统正常使用、运行、维护和技术支持的需要，培训费用包含在本次投标总报价中；培训内容主要包括各系统平台及手持终端使用，各终端基础故障排查及安装调试、通讯链路故障排查、维护等相关系统使用；培训由医院护理部、信息科工程师负责，培训人员包括医院各临床使用人员、</w:t>
      </w:r>
      <w:r w:rsidRPr="00CE1902">
        <w:rPr>
          <w:rFonts w:ascii="仿宋_GB2312" w:eastAsia="仿宋_GB2312" w:hint="eastAsia"/>
          <w:sz w:val="32"/>
          <w:szCs w:val="32"/>
        </w:rPr>
        <w:lastRenderedPageBreak/>
        <w:t>参与该项目建设及运行维护管理人员，培训完成后，保证参与培训人员具备独立操作使用能力及日常故障排查及运营维护等能力。</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5.提供的产品要采用国家或行业规定的标准进行包装，每件包装箱内附一份详细装箱清单和质量检验合格证，提供产品合格证书、出厂检测报告、中文操作使用说明书及维修手册，以及其他的详细技术资料、</w:t>
      </w:r>
      <w:proofErr w:type="gramStart"/>
      <w:r w:rsidRPr="00CE1902">
        <w:rPr>
          <w:rFonts w:ascii="仿宋_GB2312" w:eastAsia="仿宋_GB2312" w:hint="eastAsia"/>
          <w:sz w:val="32"/>
          <w:szCs w:val="32"/>
        </w:rPr>
        <w:t>标配随装</w:t>
      </w:r>
      <w:proofErr w:type="gramEnd"/>
      <w:r w:rsidRPr="00CE1902">
        <w:rPr>
          <w:rFonts w:ascii="仿宋_GB2312" w:eastAsia="仿宋_GB2312" w:hint="eastAsia"/>
          <w:sz w:val="32"/>
          <w:szCs w:val="32"/>
        </w:rPr>
        <w:t>工具和备件、维修线路图等（如有或视情提供）。</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（七）★专利权和保密要求</w:t>
      </w:r>
    </w:p>
    <w:p w:rsidR="00CE1902" w:rsidRPr="00CE1902" w:rsidRDefault="00CE1902" w:rsidP="00CE1902">
      <w:pPr>
        <w:ind w:firstLineChars="200" w:firstLine="640"/>
        <w:rPr>
          <w:rFonts w:ascii="仿宋_GB2312" w:eastAsia="仿宋_GB2312" w:hint="eastAsia"/>
          <w:sz w:val="32"/>
          <w:szCs w:val="32"/>
        </w:rPr>
      </w:pPr>
      <w:r w:rsidRPr="00CE1902">
        <w:rPr>
          <w:rFonts w:ascii="仿宋_GB2312" w:eastAsia="仿宋_GB2312" w:hint="eastAsia"/>
          <w:sz w:val="32"/>
          <w:szCs w:val="32"/>
        </w:rPr>
        <w:t>投标供应商应保证使用方在使用该货物或其任何一部分时，不受第三方侵权指控。同时，投标供应商不得向第三方泄露采购机构提供的技术文件等资料。</w:t>
      </w:r>
    </w:p>
    <w:sectPr w:rsidR="00CE1902" w:rsidRPr="00CE1902" w:rsidSect="00354A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988" w:rsidRDefault="00EC4988" w:rsidP="00354ABE">
      <w:r>
        <w:separator/>
      </w:r>
    </w:p>
  </w:endnote>
  <w:endnote w:type="continuationSeparator" w:id="0">
    <w:p w:rsidR="00EC4988" w:rsidRDefault="00EC4988" w:rsidP="0035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988" w:rsidRDefault="00EC4988" w:rsidP="00354ABE">
      <w:r>
        <w:separator/>
      </w:r>
    </w:p>
  </w:footnote>
  <w:footnote w:type="continuationSeparator" w:id="0">
    <w:p w:rsidR="00EC4988" w:rsidRDefault="00EC4988" w:rsidP="00354A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F8E"/>
    <w:rsid w:val="00135FB2"/>
    <w:rsid w:val="00354ABE"/>
    <w:rsid w:val="00CA5F8E"/>
    <w:rsid w:val="00CE1902"/>
    <w:rsid w:val="00E16815"/>
    <w:rsid w:val="00EC4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4A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4ABE"/>
    <w:rPr>
      <w:sz w:val="18"/>
      <w:szCs w:val="18"/>
    </w:rPr>
  </w:style>
  <w:style w:type="paragraph" w:styleId="a4">
    <w:name w:val="footer"/>
    <w:basedOn w:val="a"/>
    <w:link w:val="Char0"/>
    <w:uiPriority w:val="99"/>
    <w:unhideWhenUsed/>
    <w:rsid w:val="00354ABE"/>
    <w:pPr>
      <w:tabs>
        <w:tab w:val="center" w:pos="4153"/>
        <w:tab w:val="right" w:pos="8306"/>
      </w:tabs>
      <w:snapToGrid w:val="0"/>
      <w:jc w:val="left"/>
    </w:pPr>
    <w:rPr>
      <w:sz w:val="18"/>
      <w:szCs w:val="18"/>
    </w:rPr>
  </w:style>
  <w:style w:type="character" w:customStyle="1" w:styleId="Char0">
    <w:name w:val="页脚 Char"/>
    <w:basedOn w:val="a0"/>
    <w:link w:val="a4"/>
    <w:uiPriority w:val="99"/>
    <w:rsid w:val="00354AB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4A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4ABE"/>
    <w:rPr>
      <w:sz w:val="18"/>
      <w:szCs w:val="18"/>
    </w:rPr>
  </w:style>
  <w:style w:type="paragraph" w:styleId="a4">
    <w:name w:val="footer"/>
    <w:basedOn w:val="a"/>
    <w:link w:val="Char0"/>
    <w:uiPriority w:val="99"/>
    <w:unhideWhenUsed/>
    <w:rsid w:val="00354ABE"/>
    <w:pPr>
      <w:tabs>
        <w:tab w:val="center" w:pos="4153"/>
        <w:tab w:val="right" w:pos="8306"/>
      </w:tabs>
      <w:snapToGrid w:val="0"/>
      <w:jc w:val="left"/>
    </w:pPr>
    <w:rPr>
      <w:sz w:val="18"/>
      <w:szCs w:val="18"/>
    </w:rPr>
  </w:style>
  <w:style w:type="character" w:customStyle="1" w:styleId="Char0">
    <w:name w:val="页脚 Char"/>
    <w:basedOn w:val="a0"/>
    <w:link w:val="a4"/>
    <w:uiPriority w:val="99"/>
    <w:rsid w:val="00354A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665</Words>
  <Characters>3792</Characters>
  <Application>Microsoft Office Word</Application>
  <DocSecurity>0</DocSecurity>
  <Lines>31</Lines>
  <Paragraphs>8</Paragraphs>
  <ScaleCrop>false</ScaleCrop>
  <Company>MS</Company>
  <LinksUpToDate>false</LinksUpToDate>
  <CharactersWithSpaces>4449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2022-05-10T01:47:00Z</dcterms:created>
  <dcterms:modified xsi:type="dcterms:W3CDTF">2022-05-10T02:11:00Z</dcterms:modified>
</cp:coreProperties>
</file>