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66"/>
        <w:tblW w:w="8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1216"/>
        <w:gridCol w:w="2418"/>
        <w:gridCol w:w="792"/>
        <w:gridCol w:w="792"/>
        <w:gridCol w:w="1082"/>
        <w:gridCol w:w="1223"/>
      </w:tblGrid>
      <w:tr w:rsidR="002C1CB7" w:rsidTr="002C1CB7">
        <w:trPr>
          <w:trHeight w:val="56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分包情况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项目及品种名称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计量</w:t>
            </w:r>
          </w:p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采购</w:t>
            </w:r>
          </w:p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单价（元）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预算金额</w:t>
            </w:r>
          </w:p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（万元）</w:t>
            </w:r>
          </w:p>
        </w:tc>
      </w:tr>
      <w:tr w:rsidR="002C1CB7" w:rsidTr="002C1CB7">
        <w:trPr>
          <w:trHeight w:val="56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rPr>
                <w:rFonts w:ascii="仿宋_GB2312" w:eastAsia="仿宋_GB2312"/>
                <w:sz w:val="24"/>
              </w:rPr>
            </w:pPr>
          </w:p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第一包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化学发光成像系统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套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500000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73</w:t>
            </w:r>
          </w:p>
        </w:tc>
      </w:tr>
      <w:tr w:rsidR="002C1CB7" w:rsidTr="002C1CB7">
        <w:trPr>
          <w:trHeight w:val="56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细胞计数成像仪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230000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2C1CB7" w:rsidTr="002C1CB7">
        <w:trPr>
          <w:trHeight w:val="56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第二包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实时定量荧光PCR仪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800000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80</w:t>
            </w:r>
          </w:p>
        </w:tc>
      </w:tr>
      <w:tr w:rsidR="002C1CB7" w:rsidTr="002C1CB7">
        <w:trPr>
          <w:trHeight w:val="56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第三包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超声波</w:t>
            </w:r>
            <w:proofErr w:type="gramStart"/>
            <w:r w:rsidRPr="00F30E9E">
              <w:rPr>
                <w:rFonts w:ascii="仿宋_GB2312" w:eastAsia="仿宋_GB2312" w:hint="eastAsia"/>
                <w:sz w:val="24"/>
              </w:rPr>
              <w:t>破碎仪</w:t>
            </w:r>
            <w:proofErr w:type="gramEnd"/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120000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77</w:t>
            </w:r>
          </w:p>
        </w:tc>
      </w:tr>
      <w:tr w:rsidR="002C1CB7" w:rsidTr="002C1CB7">
        <w:trPr>
          <w:trHeight w:val="564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Default="002C1CB7" w:rsidP="002C1CB7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低氧细胞工作站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Pr="00F30E9E" w:rsidRDefault="002C1CB7" w:rsidP="002C1CB7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F30E9E">
              <w:rPr>
                <w:rFonts w:ascii="仿宋_GB2312" w:eastAsia="仿宋_GB2312" w:hint="eastAsia"/>
                <w:sz w:val="24"/>
              </w:rPr>
              <w:t>650000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CB7" w:rsidRDefault="002C1CB7" w:rsidP="002C1CB7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:rsidR="002C1CB7" w:rsidRDefault="002C1CB7" w:rsidP="002C1CB7">
      <w:pPr>
        <w:jc w:val="center"/>
        <w:rPr>
          <w:sz w:val="32"/>
          <w:szCs w:val="32"/>
        </w:rPr>
      </w:pPr>
      <w:r w:rsidRPr="002C1CB7">
        <w:rPr>
          <w:rFonts w:hint="eastAsia"/>
          <w:sz w:val="32"/>
          <w:szCs w:val="32"/>
        </w:rPr>
        <w:t>项目概况</w:t>
      </w:r>
    </w:p>
    <w:p w:rsidR="002C1CB7" w:rsidRPr="00F30E9E" w:rsidRDefault="002C1CB7" w:rsidP="002C1CB7">
      <w:pPr>
        <w:pStyle w:val="a6"/>
        <w:spacing w:line="560" w:lineRule="exact"/>
        <w:ind w:firstLineChars="200" w:firstLine="643"/>
        <w:rPr>
          <w:rFonts w:ascii="仿宋_GB2312" w:eastAsia="仿宋_GB2312" w:hAnsi="Times New Roman" w:cs="Times New Roman"/>
          <w:bCs w:val="0"/>
        </w:rPr>
      </w:pPr>
      <w:r w:rsidRPr="00F30E9E">
        <w:rPr>
          <w:rFonts w:ascii="仿宋_GB2312" w:eastAsia="仿宋_GB2312" w:hAnsi="Times New Roman" w:cs="Times New Roman" w:hint="eastAsia"/>
          <w:bCs w:val="0"/>
        </w:rPr>
        <w:t>1.化学发光成像系统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★整机原装进口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一、应用范围：可应用于 DNA/RNA 琼脂糖凝胶电泳成像，染料包含但不限于EB，</w:t>
      </w:r>
      <w:proofErr w:type="spellStart"/>
      <w:r w:rsidRPr="00F30E9E">
        <w:rPr>
          <w:rFonts w:ascii="仿宋_GB2312" w:eastAsia="仿宋_GB2312" w:hint="eastAsia"/>
          <w:sz w:val="32"/>
          <w:szCs w:val="32"/>
        </w:rPr>
        <w:t>Sybr</w:t>
      </w:r>
      <w:proofErr w:type="spellEnd"/>
      <w:r w:rsidRPr="00F30E9E">
        <w:rPr>
          <w:rFonts w:ascii="仿宋_GB2312" w:eastAsia="仿宋_GB2312" w:hint="eastAsia"/>
          <w:sz w:val="32"/>
          <w:szCs w:val="32"/>
        </w:rPr>
        <w:t xml:space="preserve">-Safe, </w:t>
      </w:r>
      <w:proofErr w:type="spellStart"/>
      <w:r w:rsidRPr="00F30E9E">
        <w:rPr>
          <w:rFonts w:ascii="仿宋_GB2312" w:eastAsia="仿宋_GB2312" w:hint="eastAsia"/>
          <w:sz w:val="32"/>
          <w:szCs w:val="32"/>
        </w:rPr>
        <w:t>Sybr</w:t>
      </w:r>
      <w:proofErr w:type="spellEnd"/>
      <w:r w:rsidRPr="00F30E9E">
        <w:rPr>
          <w:rFonts w:ascii="仿宋_GB2312" w:eastAsia="仿宋_GB2312" w:hint="eastAsia"/>
          <w:sz w:val="32"/>
          <w:szCs w:val="32"/>
        </w:rPr>
        <w:t>-Green, Gel-Red, Gel-</w:t>
      </w:r>
      <w:proofErr w:type="spellStart"/>
      <w:r w:rsidRPr="00F30E9E">
        <w:rPr>
          <w:rFonts w:ascii="仿宋_GB2312" w:eastAsia="仿宋_GB2312" w:hint="eastAsia"/>
          <w:sz w:val="32"/>
          <w:szCs w:val="32"/>
        </w:rPr>
        <w:t>Green,Sybr</w:t>
      </w:r>
      <w:proofErr w:type="spellEnd"/>
      <w:r w:rsidRPr="00F30E9E">
        <w:rPr>
          <w:rFonts w:ascii="仿宋_GB2312" w:eastAsia="仿宋_GB2312" w:hint="eastAsia"/>
          <w:sz w:val="32"/>
          <w:szCs w:val="32"/>
        </w:rPr>
        <w:t xml:space="preserve">-Gold, DAPI 等；SDS-Page </w:t>
      </w:r>
      <w:proofErr w:type="gramStart"/>
      <w:r w:rsidRPr="00F30E9E">
        <w:rPr>
          <w:rFonts w:ascii="仿宋_GB2312" w:eastAsia="仿宋_GB2312" w:hint="eastAsia"/>
          <w:sz w:val="32"/>
          <w:szCs w:val="32"/>
        </w:rPr>
        <w:t>考染或</w:t>
      </w:r>
      <w:proofErr w:type="gramEnd"/>
      <w:r w:rsidRPr="00F30E9E">
        <w:rPr>
          <w:rFonts w:ascii="仿宋_GB2312" w:eastAsia="仿宋_GB2312" w:hint="eastAsia"/>
          <w:sz w:val="32"/>
          <w:szCs w:val="32"/>
        </w:rPr>
        <w:t xml:space="preserve">银染蛋白胶; Western blot 化学发光成像，底物包含但不限于 ECL, ECL Plus，ECL </w:t>
      </w:r>
      <w:proofErr w:type="spellStart"/>
      <w:r w:rsidRPr="00F30E9E">
        <w:rPr>
          <w:rFonts w:ascii="仿宋_GB2312" w:eastAsia="仿宋_GB2312" w:hint="eastAsia"/>
          <w:sz w:val="32"/>
          <w:szCs w:val="32"/>
        </w:rPr>
        <w:t>Adanced</w:t>
      </w:r>
      <w:proofErr w:type="spellEnd"/>
      <w:r w:rsidRPr="00F30E9E">
        <w:rPr>
          <w:rFonts w:ascii="仿宋_GB2312" w:eastAsia="仿宋_GB2312" w:hint="eastAsia"/>
          <w:sz w:val="32"/>
          <w:szCs w:val="32"/>
        </w:rPr>
        <w:t>，</w:t>
      </w:r>
      <w:proofErr w:type="spellStart"/>
      <w:r w:rsidRPr="00F30E9E">
        <w:rPr>
          <w:rFonts w:ascii="仿宋_GB2312" w:eastAsia="仿宋_GB2312" w:hint="eastAsia"/>
          <w:sz w:val="32"/>
          <w:szCs w:val="32"/>
        </w:rPr>
        <w:t>Lucifersase</w:t>
      </w:r>
      <w:proofErr w:type="spellEnd"/>
      <w:r w:rsidRPr="00F30E9E">
        <w:rPr>
          <w:rFonts w:ascii="仿宋_GB2312" w:eastAsia="仿宋_GB2312" w:hint="eastAsia"/>
          <w:sz w:val="32"/>
          <w:szCs w:val="32"/>
        </w:rPr>
        <w:t xml:space="preserve">，Pierce ECL 等；Northern &amp; Southern blot，基于化学发光的蛋白芯片，微孔板成像；多色荧光成像，荧光抗体或染料激发范围在 400~800nm，发射范围在500~900nm，包含但不限于GFP，FITC, Cy 系列, </w:t>
      </w:r>
      <w:proofErr w:type="spellStart"/>
      <w:r w:rsidRPr="00F30E9E">
        <w:rPr>
          <w:rFonts w:ascii="仿宋_GB2312" w:eastAsia="仿宋_GB2312" w:hint="eastAsia"/>
          <w:sz w:val="32"/>
          <w:szCs w:val="32"/>
        </w:rPr>
        <w:t>Qdot</w:t>
      </w:r>
      <w:proofErr w:type="spellEnd"/>
      <w:r w:rsidRPr="00F30E9E">
        <w:rPr>
          <w:rFonts w:ascii="仿宋_GB2312" w:eastAsia="仿宋_GB2312" w:hint="eastAsia"/>
          <w:sz w:val="32"/>
          <w:szCs w:val="32"/>
        </w:rPr>
        <w:t xml:space="preserve"> 系列, </w:t>
      </w:r>
      <w:proofErr w:type="spellStart"/>
      <w:r w:rsidRPr="00F30E9E">
        <w:rPr>
          <w:rFonts w:ascii="仿宋_GB2312" w:eastAsia="仿宋_GB2312" w:hint="eastAsia"/>
          <w:sz w:val="32"/>
          <w:szCs w:val="32"/>
        </w:rPr>
        <w:t>Alexa</w:t>
      </w:r>
      <w:proofErr w:type="spellEnd"/>
      <w:r w:rsidRPr="00F30E9E">
        <w:rPr>
          <w:rFonts w:ascii="仿宋_GB2312" w:eastAsia="仿宋_GB2312" w:hint="eastAsia"/>
          <w:sz w:val="32"/>
          <w:szCs w:val="32"/>
        </w:rPr>
        <w:t xml:space="preserve"> Fluor 系列, IRDye700, IRDye800, </w:t>
      </w:r>
      <w:proofErr w:type="spellStart"/>
      <w:r w:rsidRPr="00F30E9E">
        <w:rPr>
          <w:rFonts w:ascii="仿宋_GB2312" w:eastAsia="仿宋_GB2312" w:hint="eastAsia"/>
          <w:sz w:val="32"/>
          <w:szCs w:val="32"/>
        </w:rPr>
        <w:t>Dylight</w:t>
      </w:r>
      <w:proofErr w:type="spellEnd"/>
      <w:r w:rsidRPr="00F30E9E">
        <w:rPr>
          <w:rFonts w:ascii="仿宋_GB2312" w:eastAsia="仿宋_GB2312" w:hint="eastAsia"/>
          <w:sz w:val="32"/>
          <w:szCs w:val="32"/>
        </w:rPr>
        <w:t xml:space="preserve"> 系列；还可升级动植物活体成像等研究。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二、技术参数要求：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 xml:space="preserve">1. </w:t>
      </w:r>
      <w:proofErr w:type="gramStart"/>
      <w:r w:rsidRPr="00F30E9E">
        <w:rPr>
          <w:rFonts w:ascii="仿宋_GB2312" w:eastAsia="仿宋_GB2312" w:hint="eastAsia"/>
          <w:sz w:val="32"/>
          <w:szCs w:val="32"/>
        </w:rPr>
        <w:t>科研级</w:t>
      </w:r>
      <w:proofErr w:type="gramEnd"/>
      <w:r w:rsidRPr="00F30E9E">
        <w:rPr>
          <w:rFonts w:ascii="仿宋_GB2312" w:eastAsia="仿宋_GB2312" w:hint="eastAsia"/>
          <w:sz w:val="32"/>
          <w:szCs w:val="32"/>
        </w:rPr>
        <w:t>CCD相机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1.1 CCD分辨率≥2160×2160，460万真实有效像素，芯片＞1 inch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lastRenderedPageBreak/>
        <w:t>1.2 图像分辨率≥1000</w:t>
      </w:r>
      <w:proofErr w:type="gramStart"/>
      <w:r w:rsidRPr="00F30E9E">
        <w:rPr>
          <w:rFonts w:ascii="仿宋_GB2312" w:eastAsia="仿宋_GB2312" w:hint="eastAsia"/>
          <w:sz w:val="32"/>
          <w:szCs w:val="32"/>
        </w:rPr>
        <w:t>万像</w:t>
      </w:r>
      <w:proofErr w:type="gramEnd"/>
      <w:r w:rsidRPr="00F30E9E">
        <w:rPr>
          <w:rFonts w:ascii="仿宋_GB2312" w:eastAsia="仿宋_GB2312" w:hint="eastAsia"/>
          <w:sz w:val="32"/>
          <w:szCs w:val="32"/>
        </w:rPr>
        <w:t>素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1.3 像素整合方式: 2x2, 3x3, 4x4, 8x8，12x12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1.4 动态范围：4.8OD，灰阶：16-bit 65536灰阶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1.5 CCD温度≤-90℃，暗电流≤0.0001e/p/s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1.6 全自动定焦镜头，f值≤0.70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1.7 图像数据传输：USB3.0以上快速传输数据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2.暗箱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2.1 不锈钢箱体，环氧涂层，有效防止化学腐蚀及UV对实验人员的伤害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2.2 带有阻尼的磁力吸附门，电磁门锁，保证曝光过程中门不被打开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2.3 抽拉</w:t>
      </w:r>
      <w:proofErr w:type="gramStart"/>
      <w:r w:rsidRPr="00F30E9E">
        <w:rPr>
          <w:rFonts w:ascii="仿宋_GB2312" w:eastAsia="仿宋_GB2312" w:hint="eastAsia"/>
          <w:sz w:val="32"/>
          <w:szCs w:val="32"/>
        </w:rPr>
        <w:t>式超亮</w:t>
      </w:r>
      <w:proofErr w:type="gramEnd"/>
      <w:r w:rsidRPr="00F30E9E">
        <w:rPr>
          <w:rFonts w:ascii="仿宋_GB2312" w:eastAsia="仿宋_GB2312" w:hint="eastAsia"/>
          <w:sz w:val="32"/>
          <w:szCs w:val="32"/>
        </w:rPr>
        <w:t>紫外透照台，带有</w:t>
      </w:r>
      <w:proofErr w:type="gramStart"/>
      <w:r w:rsidRPr="00F30E9E">
        <w:rPr>
          <w:rFonts w:ascii="仿宋_GB2312" w:eastAsia="仿宋_GB2312" w:hint="eastAsia"/>
          <w:sz w:val="32"/>
          <w:szCs w:val="32"/>
        </w:rPr>
        <w:t>一</w:t>
      </w:r>
      <w:proofErr w:type="gramEnd"/>
      <w:r w:rsidRPr="00F30E9E">
        <w:rPr>
          <w:rFonts w:ascii="仿宋_GB2312" w:eastAsia="仿宋_GB2312" w:hint="eastAsia"/>
          <w:sz w:val="32"/>
          <w:szCs w:val="32"/>
        </w:rPr>
        <w:t>体式紫外防护板，方便切胶操作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2.4 透照台可任意更换，可拆出单独使用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 xml:space="preserve">2.5 </w:t>
      </w:r>
      <w:proofErr w:type="gramStart"/>
      <w:r w:rsidRPr="00F30E9E">
        <w:rPr>
          <w:rFonts w:ascii="仿宋_GB2312" w:eastAsia="仿宋_GB2312" w:hint="eastAsia"/>
          <w:sz w:val="32"/>
          <w:szCs w:val="32"/>
        </w:rPr>
        <w:t>具有超亮紫</w:t>
      </w:r>
      <w:proofErr w:type="gramEnd"/>
      <w:r w:rsidRPr="00F30E9E">
        <w:rPr>
          <w:rFonts w:ascii="仿宋_GB2312" w:eastAsia="仿宋_GB2312" w:hint="eastAsia"/>
          <w:sz w:val="32"/>
          <w:szCs w:val="32"/>
        </w:rPr>
        <w:t>外透射技术，背景清晰，无任何非紫外波段杂光的干扰；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2.6 侧壁白光及透射白光，用于照明以及考马</w:t>
      </w:r>
      <w:proofErr w:type="gramStart"/>
      <w:r w:rsidRPr="00F30E9E">
        <w:rPr>
          <w:rFonts w:ascii="仿宋_GB2312" w:eastAsia="仿宋_GB2312" w:hint="eastAsia"/>
          <w:sz w:val="32"/>
          <w:szCs w:val="32"/>
        </w:rPr>
        <w:t>斯亮兰或</w:t>
      </w:r>
      <w:proofErr w:type="gramEnd"/>
      <w:r w:rsidRPr="00F30E9E">
        <w:rPr>
          <w:rFonts w:ascii="仿宋_GB2312" w:eastAsia="仿宋_GB2312" w:hint="eastAsia"/>
          <w:sz w:val="32"/>
          <w:szCs w:val="32"/>
        </w:rPr>
        <w:t>银染的蛋白胶、胶片或膜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2.7 顶部配有红绿蓝三色荧光激发光源，预留多个光源接口，可升级近红外荧光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2.8 全自动控制滤光片轮，≥7位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2.9 配有4个滤光片，可用于多重荧光成像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2.10 六层样品位置，五层用于化学发光，避免样品的交叉污染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lastRenderedPageBreak/>
        <w:t>2.11 带有样品位置感应器，系统自动识别样品位置，无需反复对焦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2.12 双近红外定位，便于放置样品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3.图像获取及分析软件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 xml:space="preserve">3.1 </w:t>
      </w:r>
      <w:proofErr w:type="gramStart"/>
      <w:r w:rsidRPr="00F30E9E">
        <w:rPr>
          <w:rFonts w:ascii="仿宋_GB2312" w:eastAsia="仿宋_GB2312" w:hint="eastAsia"/>
          <w:sz w:val="32"/>
          <w:szCs w:val="32"/>
        </w:rPr>
        <w:t>标配</w:t>
      </w:r>
      <w:proofErr w:type="gramEnd"/>
      <w:r w:rsidRPr="00F30E9E">
        <w:rPr>
          <w:rFonts w:ascii="仿宋_GB2312" w:eastAsia="仿宋_GB2312" w:hint="eastAsia"/>
          <w:sz w:val="32"/>
          <w:szCs w:val="32"/>
        </w:rPr>
        <w:t>Evolution-</w:t>
      </w:r>
      <w:proofErr w:type="spellStart"/>
      <w:r w:rsidRPr="00F30E9E">
        <w:rPr>
          <w:rFonts w:ascii="仿宋_GB2312" w:eastAsia="仿宋_GB2312" w:hint="eastAsia"/>
          <w:sz w:val="32"/>
          <w:szCs w:val="32"/>
        </w:rPr>
        <w:t>Capt</w:t>
      </w:r>
      <w:proofErr w:type="spellEnd"/>
      <w:r w:rsidRPr="00F30E9E">
        <w:rPr>
          <w:rFonts w:ascii="仿宋_GB2312" w:eastAsia="仿宋_GB2312" w:hint="eastAsia"/>
          <w:sz w:val="32"/>
          <w:szCs w:val="32"/>
        </w:rPr>
        <w:t xml:space="preserve"> 图像采集及分析软件，具有一键获取成像技术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3.2 自动，手动，连拍三种曝光模式，最多可连拍≥99张图片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3.3 连拍模式中，具有递增，积累，重复和任意编程等模式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3.4 可设定个人拍照参数，并保存为方法，方便调用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3.5 可拍摄彩色Marker图像，自动合并信号图像，非添加伪彩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3.6 具有3D扫描功能，直接获取3D图像，便于了解图像的背景，信号强度等信息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3.7 GLP功能，记录图像的拍照时间，拍照参数等信息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3.8 图片编辑功能，可对图像进行裁剪，添加文本，旋转角度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3.9 背景去除功能，可去除背景或去除噪点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3.10 平场校正功能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3.11 具有分子量测定功能，自动计算所有条带分子量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3.12 具有迁移率分析功能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3.13 具有定量分析功能，获得条带面积、灰度值以及相对信号强度等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lastRenderedPageBreak/>
        <w:t>3.14 具有Apps Studio功能，包含了40多种实验室常用的方法，提供常用染料的激发和发射波长信息，并自动调整设备的最佳设置。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3.15具有图像管理技术(Image Master technology)，可使操作者直观了解图像的亮度、动态范围和像素饱和度，自动判断图片的质量，进而实现对每幅图像进行控制，有利于后续的产品定量的精确度。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3.16成像及分析工作站一套，包括高性能pc、控制软件、分析软件、电源线、操作手册、鼠标键盘等。</w:t>
      </w:r>
    </w:p>
    <w:p w:rsidR="002C1CB7" w:rsidRPr="00F30E9E" w:rsidRDefault="002C1CB7" w:rsidP="002C1CB7">
      <w:pPr>
        <w:spacing w:afterLines="100" w:after="312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三、售后服务：整机保修2年。</w:t>
      </w:r>
    </w:p>
    <w:p w:rsidR="002C1CB7" w:rsidRPr="00F30E9E" w:rsidRDefault="002C1CB7" w:rsidP="002C1CB7">
      <w:pPr>
        <w:jc w:val="center"/>
        <w:rPr>
          <w:rFonts w:ascii="仿宋_GB2312" w:eastAsia="仿宋_GB2312"/>
          <w:b/>
          <w:sz w:val="32"/>
          <w:szCs w:val="32"/>
        </w:rPr>
      </w:pPr>
      <w:r w:rsidRPr="00F30E9E">
        <w:rPr>
          <w:rFonts w:ascii="仿宋_GB2312" w:eastAsia="仿宋_GB2312" w:hint="eastAsia"/>
          <w:b/>
          <w:sz w:val="32"/>
          <w:szCs w:val="32"/>
        </w:rPr>
        <w:t>2.细胞计数成像仪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★整机原装进口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1.直接加样计数，无需专用细胞计数板或重复使用的计数板；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2.可针对不同大小和浓度的细胞样品选择不同检测高度；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3.全功能多检测模式，包括双通道荧光模式，GFP模式（转染效率），明场模式，台</w:t>
      </w:r>
      <w:proofErr w:type="gramStart"/>
      <w:r w:rsidRPr="00F30E9E">
        <w:rPr>
          <w:rFonts w:ascii="仿宋_GB2312" w:eastAsia="仿宋_GB2312" w:hint="eastAsia"/>
          <w:sz w:val="32"/>
          <w:szCs w:val="32"/>
        </w:rPr>
        <w:t>酚</w:t>
      </w:r>
      <w:proofErr w:type="gramEnd"/>
      <w:r w:rsidRPr="00F30E9E">
        <w:rPr>
          <w:rFonts w:ascii="仿宋_GB2312" w:eastAsia="仿宋_GB2312" w:hint="eastAsia"/>
          <w:sz w:val="32"/>
          <w:szCs w:val="32"/>
        </w:rPr>
        <w:t>蓝检测，以及酵母检测模式；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4.智能操作系统，独立app,自动</w:t>
      </w:r>
      <w:proofErr w:type="spellStart"/>
      <w:r w:rsidRPr="00F30E9E">
        <w:rPr>
          <w:rFonts w:ascii="仿宋_GB2312" w:eastAsia="仿宋_GB2312" w:hint="eastAsia"/>
          <w:sz w:val="32"/>
          <w:szCs w:val="32"/>
        </w:rPr>
        <w:t>wifi</w:t>
      </w:r>
      <w:proofErr w:type="spellEnd"/>
      <w:r w:rsidRPr="00F30E9E">
        <w:rPr>
          <w:rFonts w:ascii="仿宋_GB2312" w:eastAsia="仿宋_GB2312" w:hint="eastAsia"/>
          <w:sz w:val="32"/>
          <w:szCs w:val="32"/>
        </w:rPr>
        <w:t>连接，邮件发送数据，可抓屏，可屏幕缩放，便于观察单个细胞；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5.检测浓度范围：7X102</w:t>
      </w:r>
      <w:r w:rsidRPr="00F30E9E">
        <w:rPr>
          <w:rFonts w:ascii="仿宋_GB2312" w:hint="eastAsia"/>
          <w:sz w:val="32"/>
          <w:szCs w:val="32"/>
        </w:rPr>
        <w:t>–</w:t>
      </w:r>
      <w:r w:rsidRPr="00F30E9E">
        <w:rPr>
          <w:rFonts w:ascii="仿宋_GB2312" w:eastAsia="仿宋_GB2312" w:hint="eastAsia"/>
          <w:sz w:val="32"/>
          <w:szCs w:val="32"/>
        </w:rPr>
        <w:t xml:space="preserve"> 2.5X107 cells/ml；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 xml:space="preserve">6.细胞直径范围：4 </w:t>
      </w:r>
      <w:r w:rsidRPr="00F30E9E">
        <w:rPr>
          <w:rFonts w:ascii="仿宋_GB2312" w:hint="eastAsia"/>
          <w:sz w:val="32"/>
          <w:szCs w:val="32"/>
        </w:rPr>
        <w:t>–</w:t>
      </w:r>
      <w:r w:rsidRPr="00F30E9E">
        <w:rPr>
          <w:rFonts w:ascii="仿宋_GB2312" w:eastAsia="仿宋_GB2312" w:hint="eastAsia"/>
          <w:sz w:val="32"/>
          <w:szCs w:val="32"/>
        </w:rPr>
        <w:t xml:space="preserve"> 400 um；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7.样品体积：5ul(50um高度)，10ul(100um高度)，40ul(400um高度)可调；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lastRenderedPageBreak/>
        <w:t>8.检测速度：明场&lt;3秒，荧光&lt;8.5秒；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9.样品基座材质：</w:t>
      </w:r>
      <w:proofErr w:type="gramStart"/>
      <w:r w:rsidRPr="00F30E9E">
        <w:rPr>
          <w:rFonts w:ascii="仿宋_GB2312" w:eastAsia="仿宋_GB2312" w:hint="eastAsia"/>
          <w:sz w:val="32"/>
          <w:szCs w:val="32"/>
        </w:rPr>
        <w:t>光学级</w:t>
      </w:r>
      <w:proofErr w:type="gramEnd"/>
      <w:r w:rsidRPr="00F30E9E">
        <w:rPr>
          <w:rFonts w:ascii="仿宋_GB2312" w:eastAsia="仿宋_GB2312" w:hint="eastAsia"/>
          <w:sz w:val="32"/>
          <w:szCs w:val="32"/>
        </w:rPr>
        <w:t>蓝宝石；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10.明场照明：LED 530nm；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11.荧光激发：LED 470nm；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12.发射滤光片：AO 530nm,  PI 645nm；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13.触摸屏：多点触控，≥7</w:t>
      </w:r>
      <w:r w:rsidRPr="00F30E9E">
        <w:rPr>
          <w:rFonts w:ascii="仿宋_GB2312" w:hint="eastAsia"/>
          <w:sz w:val="32"/>
          <w:szCs w:val="32"/>
        </w:rPr>
        <w:t>吋</w:t>
      </w:r>
      <w:r w:rsidRPr="00F30E9E">
        <w:rPr>
          <w:rFonts w:ascii="仿宋_GB2312" w:eastAsia="仿宋_GB2312" w:hint="eastAsia"/>
          <w:sz w:val="32"/>
          <w:szCs w:val="32"/>
        </w:rPr>
        <w:t>“高清1280×800彩色屏；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14.专业级图像：荧光315</w:t>
      </w:r>
      <w:proofErr w:type="gramStart"/>
      <w:r w:rsidRPr="00F30E9E">
        <w:rPr>
          <w:rFonts w:ascii="仿宋_GB2312" w:eastAsia="仿宋_GB2312" w:hint="eastAsia"/>
          <w:sz w:val="32"/>
          <w:szCs w:val="32"/>
        </w:rPr>
        <w:t>万像</w:t>
      </w:r>
      <w:proofErr w:type="gramEnd"/>
      <w:r w:rsidRPr="00F30E9E">
        <w:rPr>
          <w:rFonts w:ascii="仿宋_GB2312" w:eastAsia="仿宋_GB2312" w:hint="eastAsia"/>
          <w:sz w:val="32"/>
          <w:szCs w:val="32"/>
        </w:rPr>
        <w:t>素图像，明场500</w:t>
      </w:r>
      <w:proofErr w:type="gramStart"/>
      <w:r w:rsidRPr="00F30E9E">
        <w:rPr>
          <w:rFonts w:ascii="仿宋_GB2312" w:eastAsia="仿宋_GB2312" w:hint="eastAsia"/>
          <w:sz w:val="32"/>
          <w:szCs w:val="32"/>
        </w:rPr>
        <w:t>万像</w:t>
      </w:r>
      <w:proofErr w:type="gramEnd"/>
      <w:r w:rsidRPr="00F30E9E">
        <w:rPr>
          <w:rFonts w:ascii="仿宋_GB2312" w:eastAsia="仿宋_GB2312" w:hint="eastAsia"/>
          <w:sz w:val="32"/>
          <w:szCs w:val="32"/>
        </w:rPr>
        <w:t>素图像，可图像叠加；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15.处理器：高性能超级芯片处理器；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16.内存：大于500g固态存储器；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17.连接：自动</w:t>
      </w:r>
      <w:proofErr w:type="spellStart"/>
      <w:r w:rsidRPr="00F30E9E">
        <w:rPr>
          <w:rFonts w:ascii="仿宋_GB2312" w:eastAsia="仿宋_GB2312" w:hint="eastAsia"/>
          <w:sz w:val="32"/>
          <w:szCs w:val="32"/>
        </w:rPr>
        <w:t>wifi</w:t>
      </w:r>
      <w:proofErr w:type="spellEnd"/>
      <w:r w:rsidRPr="00F30E9E">
        <w:rPr>
          <w:rFonts w:ascii="仿宋_GB2312" w:eastAsia="仿宋_GB2312" w:hint="eastAsia"/>
          <w:sz w:val="32"/>
          <w:szCs w:val="32"/>
        </w:rPr>
        <w:t>，以太网，HDMI高清线，3个USB接口；</w:t>
      </w:r>
    </w:p>
    <w:p w:rsidR="002C1CB7" w:rsidRPr="00F30E9E" w:rsidRDefault="002C1CB7" w:rsidP="002C1CB7">
      <w:pPr>
        <w:spacing w:afterLines="100" w:after="312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18.整机保修2年。</w:t>
      </w:r>
    </w:p>
    <w:p w:rsidR="002C1CB7" w:rsidRPr="00F30E9E" w:rsidRDefault="002C1CB7" w:rsidP="002C1CB7">
      <w:pPr>
        <w:pStyle w:val="A7"/>
        <w:spacing w:line="360" w:lineRule="auto"/>
        <w:ind w:firstLine="540"/>
        <w:jc w:val="center"/>
        <w:rPr>
          <w:rFonts w:ascii="仿宋_GB2312" w:eastAsia="仿宋_GB2312" w:hAnsi="Times New Roman" w:cs="Times New Roman"/>
          <w:b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b/>
          <w:color w:val="auto"/>
          <w:sz w:val="32"/>
          <w:szCs w:val="32"/>
        </w:rPr>
        <w:t>3.实时荧光定量PCR仪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一、主要用途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用于基因表达分析研究，目的基因的定量分析，进行SNP单核苷酸多态性和突变位点的分析检测。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二、技术参数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1.装机指标：区分1000拷贝和2000拷贝模板浓度的差异；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2.反应时间：40个循环反应：≤60分钟 (96</w:t>
      </w:r>
      <w:proofErr w:type="gramStart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孔标准</w:t>
      </w:r>
      <w:proofErr w:type="gramEnd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检测) 、≤40分钟 (384</w:t>
      </w:r>
      <w:proofErr w:type="gramStart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孔标准</w:t>
      </w:r>
      <w:proofErr w:type="gramEnd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检测) ;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 xml:space="preserve">3.检测模式： </w:t>
      </w:r>
      <w:proofErr w:type="spellStart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HybProbe</w:t>
      </w:r>
      <w:proofErr w:type="spellEnd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杂交探针、</w:t>
      </w:r>
      <w:proofErr w:type="spellStart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SimplProbe</w:t>
      </w:r>
      <w:proofErr w:type="spellEnd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单探针、染料模式、水解探针、简单探针、分子信标、</w:t>
      </w:r>
      <w:proofErr w:type="gramStart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蝎型探针</w:t>
      </w:r>
      <w:proofErr w:type="gramEnd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、高</w:t>
      </w: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lastRenderedPageBreak/>
        <w:t>分辨率熔解曲线（HRM）等；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4.线性范围：1-10</w:t>
      </w: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  <w:vertAlign w:val="superscript"/>
        </w:rPr>
        <w:t>10</w:t>
      </w: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个拷贝；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5.检测灵敏度：可检测单拷贝基因；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6.模块规格：支持96孔模块与384孔模块,96孔模块和384孔模块的检测通道均是6通道；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7.重复性：样品检测CV≤0.15% (50nmol/l荧光浓度)；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8.精密度：≤1.5倍拷贝数差异，置信度≥99.8%；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9.样品通量：96个样本/次，可自行更换并升级至384模块，自行手动更换后无需校准；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10.荧光染料校正：无需ROX等被动染料校正；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11.所有样本同时激发并采集数据，孔间无时间差；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12.无需ROX校正，终身免校准。</w:t>
      </w:r>
    </w:p>
    <w:p w:rsidR="002C1CB7" w:rsidRPr="00F30E9E" w:rsidRDefault="002C1CB7" w:rsidP="002C1CB7">
      <w:pPr>
        <w:pStyle w:val="A7"/>
        <w:widowControl w:val="0"/>
        <w:numPr>
          <w:ilvl w:val="0"/>
          <w:numId w:val="1"/>
        </w:numPr>
        <w:spacing w:line="560" w:lineRule="exact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配置要求</w:t>
      </w:r>
    </w:p>
    <w:p w:rsidR="002C1CB7" w:rsidRPr="00F30E9E" w:rsidRDefault="002C1CB7" w:rsidP="002C1CB7">
      <w:pPr>
        <w:pStyle w:val="A7"/>
        <w:widowControl w:val="0"/>
        <w:spacing w:line="560" w:lineRule="exact"/>
        <w:ind w:left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(</w:t>
      </w:r>
      <w:proofErr w:type="gramStart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一</w:t>
      </w:r>
      <w:proofErr w:type="gramEnd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)温控模块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1.温控模块：采用银质半导体温控模块；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2.模块设计：所有样本对应的温控模块一体化成型，不由独立的多个小型模块组合而成；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3.模块平均温控速率：6.8 ℃/s；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4.样本平均温控速率：4.8 ℃/s；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5.温度准确性：≤±0.2℃（37-99 ℃）；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6.温度均</w:t>
      </w:r>
      <w:proofErr w:type="gramStart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一</w:t>
      </w:r>
      <w:proofErr w:type="gramEnd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性：≤±0.2℃（37-99 ℃）；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7.高分辨率熔解曲线 HRM：支持，发表不少于1500篇文献，可提供至少300篇详细文献目录；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8.熔解曲线温度分辨率：0.01 ℃；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lastRenderedPageBreak/>
        <w:t>9.熔解曲线数据采集频率：每摄氏度采集最多可达100个数据；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10.高分辨率熔解曲线反应时间：&lt;10分钟（65-95℃，整板每℃采集25次数据时，可提供实际软件截图证明）；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11.熔解曲线反应时间：&lt;5分钟（65-95℃，整板每℃采集25次数据时，可提供实际软件截图证明）；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12.样本容量：96孔板为10－100ul，384孔板为3－20ul。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（二）光学系统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1.光源：高强度白色固态光源，光源寿命：&gt; 10000小时；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2.激发波长：390-710 nm，连续不间断；检测通道数：6通道；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left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3.检测系统：冷CCD，工作温度 10 ℃；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4.激发滤光片与检测滤光片可自由组合，提供20种不同的组合的检测模式；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5.光路系统：五棱镜加长光路有效消除光学边缘效应。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6.</w:t>
      </w:r>
      <w:proofErr w:type="gramStart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全固定</w:t>
      </w:r>
      <w:proofErr w:type="gramEnd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光路设计，无移动机械部件：激发光源与检测系统在工作中无需移动，保证系统稳定性。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7.所有样本同时检测：支持，所有样本同时激发并采集数据，孔间无时间差。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8.免维护：无需定期校正光路。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（三）分析软件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1.支持的荧光染料种类开放：包括但不限于FAM</w:t>
      </w:r>
      <w:r w:rsidRPr="00F30E9E">
        <w:rPr>
          <w:rFonts w:ascii="仿宋_GB2312" w:eastAsia="宋体" w:hAnsi="Times New Roman" w:cs="Times New Roman" w:hint="eastAsia"/>
          <w:color w:val="auto"/>
          <w:sz w:val="32"/>
          <w:szCs w:val="32"/>
        </w:rPr>
        <w:t>™</w:t>
      </w: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、SYBR</w:t>
      </w:r>
      <w:r w:rsidRPr="00F30E9E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®</w:t>
      </w: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、Fluorescein、SYPRO</w:t>
      </w:r>
      <w:r w:rsidRPr="00F30E9E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®</w:t>
      </w: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 xml:space="preserve"> Orange、VIC</w:t>
      </w:r>
      <w:r w:rsidRPr="00F30E9E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®</w:t>
      </w: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、JOE</w:t>
      </w:r>
      <w:r w:rsidRPr="00F30E9E">
        <w:rPr>
          <w:rFonts w:ascii="仿宋_GB2312" w:eastAsia="宋体" w:hAnsi="Times New Roman" w:cs="Times New Roman" w:hint="eastAsia"/>
          <w:color w:val="auto"/>
          <w:sz w:val="32"/>
          <w:szCs w:val="32"/>
        </w:rPr>
        <w:t>™</w:t>
      </w: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、TET</w:t>
      </w:r>
      <w:r w:rsidRPr="00F30E9E">
        <w:rPr>
          <w:rFonts w:ascii="仿宋_GB2312" w:eastAsia="宋体" w:hAnsi="Times New Roman" w:cs="Times New Roman" w:hint="eastAsia"/>
          <w:color w:val="auto"/>
          <w:sz w:val="32"/>
          <w:szCs w:val="32"/>
        </w:rPr>
        <w:t>™</w:t>
      </w: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、HEX</w:t>
      </w:r>
      <w:r w:rsidRPr="00F30E9E">
        <w:rPr>
          <w:rFonts w:ascii="仿宋_GB2312" w:eastAsia="宋体" w:hAnsi="Times New Roman" w:cs="Times New Roman" w:hint="eastAsia"/>
          <w:color w:val="auto"/>
          <w:sz w:val="32"/>
          <w:szCs w:val="32"/>
        </w:rPr>
        <w:t>™</w:t>
      </w: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</w:t>
      </w: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lastRenderedPageBreak/>
        <w:t>TAMRA</w:t>
      </w:r>
      <w:r w:rsidRPr="00F30E9E">
        <w:rPr>
          <w:rFonts w:ascii="仿宋_GB2312" w:eastAsia="宋体" w:hAnsi="Times New Roman" w:cs="Times New Roman" w:hint="eastAsia"/>
          <w:color w:val="auto"/>
          <w:sz w:val="32"/>
          <w:szCs w:val="32"/>
        </w:rPr>
        <w:t>™</w:t>
      </w: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、Texas Red</w:t>
      </w:r>
      <w:r w:rsidRPr="00F30E9E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®</w:t>
      </w: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</w:t>
      </w:r>
      <w:proofErr w:type="spellStart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Alexa</w:t>
      </w:r>
      <w:proofErr w:type="spellEnd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 xml:space="preserve"> Fluor 633、LC Cyan 500、</w:t>
      </w:r>
      <w:proofErr w:type="spellStart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Fluo</w:t>
      </w:r>
      <w:proofErr w:type="spellEnd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 xml:space="preserve"> 3、</w:t>
      </w:r>
      <w:proofErr w:type="spellStart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ResoLight</w:t>
      </w:r>
      <w:proofErr w:type="spellEnd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</w:t>
      </w:r>
      <w:proofErr w:type="spellStart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EvaGreen</w:t>
      </w:r>
      <w:proofErr w:type="spellEnd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、LC Green、Cy3、Cy5、Yellow555、LC Red610、ROX、SYPRO Ruby、LC Red640、</w:t>
      </w:r>
      <w:proofErr w:type="spellStart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Snarf</w:t>
      </w:r>
      <w:proofErr w:type="spellEnd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 xml:space="preserve"> 1、Acid </w:t>
      </w:r>
      <w:proofErr w:type="spellStart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Fuchsin</w:t>
      </w:r>
      <w:proofErr w:type="spellEnd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、Cy5.5、LC Red670、LC Red705等；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2.具备颜色补偿功能；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3.软件：具有定性定量（绝对定量、相对定量）、自动报告熔解温度、自动报告基因分型结果、高分辨率熔解曲线分析等功能，配套的运行和结果分析软件，能够针对观察到的扩增情况随时增加循环数目，实时动态监测，扩增和检测同时进行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4.</w:t>
      </w:r>
      <w:proofErr w:type="gramStart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标配高分辨率</w:t>
      </w:r>
      <w:proofErr w:type="gramEnd"/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熔解曲线 HRM分析；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5.数据导出：TXT, PDF, XML, GIF, PNG, BMP, JPEG。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四、 试剂支持：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1.开放平台，可使用市面上国产或进口的各品牌试剂及第三方提供的8连板、96孔板；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2.具有医疗器械注册证。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五、仪器配置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1.96-wells主机，96孔模块；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2.操作手册；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3.软件安装光盘；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4.控制单元：一线品牌高性能原装进口电脑，≥19寸液晶显屏；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5.高分辨率熔解曲线分析软件一套。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六、售后服务</w:t>
      </w:r>
    </w:p>
    <w:p w:rsidR="002C1CB7" w:rsidRPr="00F30E9E" w:rsidRDefault="002C1CB7" w:rsidP="002C1CB7">
      <w:pPr>
        <w:pStyle w:val="A7"/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auto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lastRenderedPageBreak/>
        <w:t>1.整机保修两年。</w:t>
      </w:r>
    </w:p>
    <w:p w:rsidR="002C1CB7" w:rsidRPr="00F30E9E" w:rsidRDefault="002C1CB7" w:rsidP="002C1CB7">
      <w:pPr>
        <w:jc w:val="center"/>
        <w:rPr>
          <w:rFonts w:ascii="仿宋_GB2312" w:eastAsia="仿宋_GB2312"/>
          <w:b/>
          <w:sz w:val="32"/>
          <w:szCs w:val="32"/>
        </w:rPr>
      </w:pPr>
      <w:r w:rsidRPr="00F30E9E">
        <w:rPr>
          <w:rFonts w:ascii="仿宋_GB2312" w:eastAsia="仿宋_GB2312" w:hint="eastAsia"/>
          <w:b/>
          <w:sz w:val="32"/>
          <w:szCs w:val="32"/>
        </w:rPr>
        <w:t>4.超声波破碎仪</w:t>
      </w:r>
    </w:p>
    <w:p w:rsidR="002C1CB7" w:rsidRPr="00F30E9E" w:rsidRDefault="002C1CB7" w:rsidP="002C1CB7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sz w:val="32"/>
          <w:szCs w:val="32"/>
        </w:rPr>
        <w:t>一、基本要求：</w:t>
      </w:r>
    </w:p>
    <w:p w:rsidR="002C1CB7" w:rsidRPr="00F30E9E" w:rsidRDefault="002C1CB7" w:rsidP="002C1CB7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sz w:val="32"/>
          <w:szCs w:val="32"/>
        </w:rPr>
        <w:t>1.适用范围广：适用于各种标准容器，可处理多种样品；</w:t>
      </w:r>
    </w:p>
    <w:p w:rsidR="002C1CB7" w:rsidRPr="00F30E9E" w:rsidRDefault="002C1CB7" w:rsidP="002C1CB7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sz w:val="32"/>
          <w:szCs w:val="32"/>
        </w:rPr>
        <w:t>2.等温处理：配合冷却水循环系统使用；</w:t>
      </w:r>
    </w:p>
    <w:p w:rsidR="002C1CB7" w:rsidRPr="00F30E9E" w:rsidRDefault="002C1CB7" w:rsidP="002C1CB7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sz w:val="32"/>
          <w:szCs w:val="32"/>
        </w:rPr>
        <w:t>3.重复性高：参数可调，精准控制样本处理过程，结果重复性高；</w:t>
      </w:r>
    </w:p>
    <w:p w:rsidR="002C1CB7" w:rsidRPr="00F30E9E" w:rsidRDefault="002C1CB7" w:rsidP="002C1CB7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sz w:val="32"/>
          <w:szCs w:val="32"/>
        </w:rPr>
        <w:t>4.旋转支架：自动的连续旋转离心管使超声波的能量分布更为均匀；</w:t>
      </w:r>
    </w:p>
    <w:p w:rsidR="002C1CB7" w:rsidRPr="00F30E9E" w:rsidRDefault="002C1CB7" w:rsidP="002C1CB7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sz w:val="32"/>
          <w:szCs w:val="32"/>
        </w:rPr>
        <w:t>5.样本损耗小：可用于处理微量样品，最小到5</w:t>
      </w:r>
      <w:r w:rsidRPr="00F30E9E">
        <w:rPr>
          <w:rFonts w:ascii="Times New Roman" w:eastAsia="仿宋_GB2312" w:hAnsi="Times New Roman" w:cs="Times New Roman" w:hint="eastAsia"/>
          <w:sz w:val="32"/>
          <w:szCs w:val="32"/>
        </w:rPr>
        <w:t>µ</w:t>
      </w:r>
      <w:r w:rsidRPr="00F30E9E">
        <w:rPr>
          <w:rFonts w:ascii="仿宋_GB2312" w:eastAsia="仿宋_GB2312" w:hAnsi="Times New Roman" w:cs="Times New Roman" w:hint="eastAsia"/>
          <w:sz w:val="32"/>
          <w:szCs w:val="32"/>
        </w:rPr>
        <w:t>l；</w:t>
      </w:r>
    </w:p>
    <w:p w:rsidR="002C1CB7" w:rsidRPr="00F30E9E" w:rsidRDefault="002C1CB7" w:rsidP="002C1CB7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sz w:val="32"/>
          <w:szCs w:val="32"/>
        </w:rPr>
        <w:t>6.样本零污染：封闭环境增强生物安全性（如分支杆菌.病毒等），非接触式消除了交叉污染风险和传统探头磨损掉渣现象；</w:t>
      </w:r>
    </w:p>
    <w:p w:rsidR="002C1CB7" w:rsidRPr="00F30E9E" w:rsidRDefault="002C1CB7" w:rsidP="002C1CB7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sz w:val="32"/>
          <w:szCs w:val="32"/>
        </w:rPr>
        <w:t>7.双层玻璃夹套杯设计，热交换效率高。</w:t>
      </w:r>
    </w:p>
    <w:p w:rsidR="002C1CB7" w:rsidRPr="00F30E9E" w:rsidRDefault="002C1CB7" w:rsidP="002C1CB7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sz w:val="32"/>
          <w:szCs w:val="32"/>
        </w:rPr>
        <w:t>二、参数要求：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 xml:space="preserve">1.频 </w:t>
      </w:r>
      <w:r w:rsidRPr="00F30E9E">
        <w:rPr>
          <w:rFonts w:eastAsia="仿宋_GB2312" w:hint="eastAsia"/>
          <w:sz w:val="32"/>
          <w:szCs w:val="32"/>
        </w:rPr>
        <w:t> </w:t>
      </w:r>
      <w:r w:rsidRPr="00F30E9E">
        <w:rPr>
          <w:rFonts w:ascii="仿宋_GB2312" w:eastAsia="仿宋_GB2312" w:hint="eastAsia"/>
          <w:sz w:val="32"/>
          <w:szCs w:val="32"/>
        </w:rPr>
        <w:t xml:space="preserve"> 率：20KHz(±0.5KHz);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 xml:space="preserve">2.功 </w:t>
      </w:r>
      <w:r w:rsidRPr="00F30E9E">
        <w:rPr>
          <w:rFonts w:eastAsia="仿宋_GB2312" w:hint="eastAsia"/>
          <w:sz w:val="32"/>
          <w:szCs w:val="32"/>
        </w:rPr>
        <w:t> </w:t>
      </w:r>
      <w:r w:rsidRPr="00F30E9E">
        <w:rPr>
          <w:rFonts w:ascii="仿宋_GB2312" w:eastAsia="仿宋_GB2312" w:hint="eastAsia"/>
          <w:sz w:val="32"/>
          <w:szCs w:val="32"/>
        </w:rPr>
        <w:t xml:space="preserve"> 率：1800 W可调;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3.功率可调：1-100%;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 xml:space="preserve">4.定 </w:t>
      </w:r>
      <w:r w:rsidRPr="00F30E9E">
        <w:rPr>
          <w:rFonts w:eastAsia="仿宋_GB2312" w:hint="eastAsia"/>
          <w:sz w:val="32"/>
          <w:szCs w:val="32"/>
        </w:rPr>
        <w:t> </w:t>
      </w:r>
      <w:r w:rsidRPr="00F30E9E">
        <w:rPr>
          <w:rFonts w:ascii="仿宋_GB2312" w:eastAsia="仿宋_GB2312" w:hint="eastAsia"/>
          <w:sz w:val="32"/>
          <w:szCs w:val="32"/>
        </w:rPr>
        <w:t xml:space="preserve"> 时：1-999 min;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5.占 空 比：0.1-99.9%;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6.槽 容 积：≥700mL;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7.可温度显示;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8.破碎支架： 0.5ml*12孔.2ml*12孔.0.2ml*12孔.5ml-50ml;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lastRenderedPageBreak/>
        <w:t>9.恒温装置要求：</w:t>
      </w:r>
      <w:proofErr w:type="gramStart"/>
      <w:r w:rsidRPr="00F30E9E">
        <w:rPr>
          <w:rFonts w:ascii="仿宋_GB2312" w:eastAsia="仿宋_GB2312" w:hint="eastAsia"/>
          <w:sz w:val="32"/>
          <w:szCs w:val="32"/>
        </w:rPr>
        <w:t>标配专用</w:t>
      </w:r>
      <w:proofErr w:type="gramEnd"/>
      <w:r w:rsidRPr="00F30E9E">
        <w:rPr>
          <w:rFonts w:ascii="仿宋_GB2312" w:eastAsia="仿宋_GB2312" w:hint="eastAsia"/>
          <w:sz w:val="32"/>
          <w:szCs w:val="32"/>
        </w:rPr>
        <w:t>冷水机；</w:t>
      </w:r>
    </w:p>
    <w:p w:rsidR="002C1CB7" w:rsidRPr="00F30E9E" w:rsidRDefault="002C1CB7" w:rsidP="002C1CB7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 w:rsidRPr="00F30E9E">
        <w:rPr>
          <w:rFonts w:ascii="仿宋_GB2312" w:eastAsia="仿宋_GB2312" w:hAnsi="Times New Roman" w:cs="Times New Roman" w:hint="eastAsia"/>
          <w:sz w:val="32"/>
          <w:szCs w:val="32"/>
        </w:rPr>
        <w:t>10.一体化的隔音箱：有效减少噪音，占地空间小，视窗大，可 清晰观察实验结果;</w:t>
      </w:r>
    </w:p>
    <w:p w:rsidR="002C1CB7" w:rsidRPr="00F30E9E" w:rsidRDefault="002C1CB7" w:rsidP="002C1CB7">
      <w:pPr>
        <w:shd w:val="solid" w:color="FFFFFF" w:fill="auto"/>
        <w:autoSpaceDN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11.整机保修2年。</w:t>
      </w:r>
    </w:p>
    <w:p w:rsidR="002C1CB7" w:rsidRPr="00F30E9E" w:rsidRDefault="002C1CB7" w:rsidP="002C1CB7">
      <w:pPr>
        <w:tabs>
          <w:tab w:val="left" w:pos="0"/>
          <w:tab w:val="left" w:pos="360"/>
        </w:tabs>
        <w:spacing w:line="560" w:lineRule="exact"/>
        <w:ind w:firstLineChars="200" w:firstLine="643"/>
        <w:jc w:val="center"/>
        <w:rPr>
          <w:rFonts w:ascii="仿宋_GB2312" w:eastAsia="仿宋_GB2312" w:hAnsiTheme="minorEastAsia"/>
          <w:b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b/>
          <w:color w:val="000000"/>
          <w:sz w:val="32"/>
          <w:szCs w:val="32"/>
        </w:rPr>
        <w:t>5.低氧细胞工作</w:t>
      </w:r>
    </w:p>
    <w:p w:rsidR="002C1CB7" w:rsidRPr="00F30E9E" w:rsidRDefault="002C1CB7" w:rsidP="002C1CB7">
      <w:pPr>
        <w:tabs>
          <w:tab w:val="left" w:pos="0"/>
          <w:tab w:val="left" w:pos="360"/>
        </w:tabs>
        <w:spacing w:line="560" w:lineRule="exact"/>
        <w:ind w:firstLineChars="200" w:firstLine="640"/>
        <w:rPr>
          <w:rFonts w:ascii="仿宋_GB2312" w:eastAsia="仿宋_GB2312" w:hAnsiTheme="minorEastAsia"/>
          <w:b/>
          <w:color w:val="000000"/>
          <w:sz w:val="32"/>
          <w:szCs w:val="32"/>
        </w:rPr>
      </w:pPr>
      <w:r w:rsidRPr="00F30E9E">
        <w:rPr>
          <w:rFonts w:ascii="仿宋_GB2312" w:eastAsia="仿宋_GB2312" w:hint="eastAsia"/>
          <w:sz w:val="32"/>
          <w:szCs w:val="32"/>
        </w:rPr>
        <w:t>★</w:t>
      </w:r>
      <w:r w:rsidRPr="00F30E9E">
        <w:rPr>
          <w:rFonts w:ascii="仿宋_GB2312" w:eastAsia="仿宋_GB2312" w:hAnsiTheme="minorEastAsia" w:hint="eastAsia"/>
          <w:b/>
          <w:color w:val="000000"/>
          <w:sz w:val="32"/>
          <w:szCs w:val="32"/>
        </w:rPr>
        <w:t>整机原装进口</w:t>
      </w:r>
    </w:p>
    <w:p w:rsidR="002C1CB7" w:rsidRPr="00F30E9E" w:rsidRDefault="002C1CB7" w:rsidP="002C1CB7">
      <w:pPr>
        <w:tabs>
          <w:tab w:val="left" w:pos="0"/>
          <w:tab w:val="left" w:pos="360"/>
        </w:tabs>
        <w:spacing w:line="560" w:lineRule="exact"/>
        <w:ind w:firstLineChars="200" w:firstLine="643"/>
        <w:rPr>
          <w:rFonts w:ascii="仿宋_GB2312" w:eastAsia="仿宋_GB2312" w:hAnsiTheme="minorEastAsia"/>
          <w:b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b/>
          <w:color w:val="000000"/>
          <w:sz w:val="32"/>
          <w:szCs w:val="32"/>
        </w:rPr>
        <w:t>一、仪器的基本功能</w:t>
      </w:r>
    </w:p>
    <w:p w:rsidR="002C1CB7" w:rsidRPr="00F30E9E" w:rsidRDefault="002C1CB7" w:rsidP="002C1CB7">
      <w:pPr>
        <w:tabs>
          <w:tab w:val="left" w:pos="0"/>
          <w:tab w:val="left" w:pos="360"/>
        </w:tabs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模拟生物体内环境，可在工作站中进行培养、操作及观察等一系列工作，保证体外实验一直在稳定的氧气、二氧化碳、温湿</w:t>
      </w:r>
      <w:proofErr w:type="gramStart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度环境</w:t>
      </w:r>
      <w:proofErr w:type="gramEnd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中进行，避免由于经常转移样品造成样品的环境变化而影响实验结果。</w:t>
      </w:r>
    </w:p>
    <w:p w:rsidR="002C1CB7" w:rsidRPr="00F30E9E" w:rsidRDefault="002C1CB7" w:rsidP="002C1CB7">
      <w:pPr>
        <w:spacing w:line="560" w:lineRule="exact"/>
        <w:ind w:firstLineChars="200" w:firstLine="643"/>
        <w:rPr>
          <w:rFonts w:ascii="仿宋_GB2312" w:eastAsia="仿宋_GB2312" w:hAnsiTheme="minorEastAsia"/>
          <w:b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b/>
          <w:color w:val="000000"/>
          <w:sz w:val="32"/>
          <w:szCs w:val="32"/>
        </w:rPr>
        <w:t>二、技术参数及指标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1.工作站面板：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工作站构成材料：工作站主体材料由优质聚乙烯树脂</w:t>
      </w:r>
      <w:proofErr w:type="gramStart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板经过</w:t>
      </w:r>
      <w:proofErr w:type="gramEnd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标准化流水线一体成型，结构稳定，且具有优越的耐化性,耐热性及耐冲击性、无毒、无味，保温、保湿性好；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1.1面板连接：工作站内壁一体成型，避免水蒸气在缝隙凝结及微生物在缝隙处滋生的风险；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1.2专业的风道设计保证了内部气体的均</w:t>
      </w:r>
      <w:proofErr w:type="gramStart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一</w:t>
      </w:r>
      <w:proofErr w:type="gramEnd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性；前面板：由下向上倾斜，符合人体工学设计，便于观察与操作。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2. 工作站尺寸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2.1 外部占用尺寸：高度1025mm；宽度1252mm；深度797mm；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2.2内部尺寸：高度535mm；宽度761mm；深度580 mm；</w:t>
      </w:r>
    </w:p>
    <w:p w:rsidR="002C1CB7" w:rsidRPr="00F30E9E" w:rsidRDefault="002C1CB7" w:rsidP="002C1CB7">
      <w:pPr>
        <w:widowControl/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lastRenderedPageBreak/>
        <w:t>3. 转移</w:t>
      </w:r>
      <w:proofErr w:type="gramStart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匣</w:t>
      </w:r>
      <w:proofErr w:type="gramEnd"/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3.1带有标准的、位于工作室外部的转移匣。转移</w:t>
      </w:r>
      <w:proofErr w:type="gramStart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匣</w:t>
      </w:r>
      <w:proofErr w:type="gramEnd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无需镶嵌在前面板上，以免遮挡视线；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3.2转移</w:t>
      </w:r>
      <w:proofErr w:type="gramStart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匣</w:t>
      </w:r>
      <w:proofErr w:type="gramEnd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尺寸：高度≥299mm；宽度≥176mm；深度≥366mm；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3.3 转移</w:t>
      </w:r>
      <w:proofErr w:type="gramStart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匣</w:t>
      </w:r>
      <w:proofErr w:type="gramEnd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内部具有独立光源，便于观察物品转移情况；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3.4 转移</w:t>
      </w:r>
      <w:proofErr w:type="gramStart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匣</w:t>
      </w:r>
      <w:proofErr w:type="gramEnd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内外门互锁且为透明，带有氮气快速吹洗功能，避免转移样品时影响内部培养室的环境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3.5可以设置转移</w:t>
      </w:r>
      <w:proofErr w:type="gramStart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匣</w:t>
      </w:r>
      <w:proofErr w:type="gramEnd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内部</w:t>
      </w:r>
      <w:bookmarkStart w:id="0" w:name="OLE_LINK8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与工作站内部相同的</w:t>
      </w:r>
      <w:bookmarkEnd w:id="0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氧气浓度，并快速达到，转移</w:t>
      </w:r>
      <w:proofErr w:type="gramStart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匣</w:t>
      </w:r>
      <w:proofErr w:type="gramEnd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内部具有加热功能，最大程度保持工作站内部环境的稳定。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4. 工作站各指标控制范围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4.1 氧气浓度范围：0.1%到23.0%，精准度0.1%，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4.2可在高清彩色触屏上任意设置氧气浓度，仪器自动调节，无需通过更换气罐调节氧气浓度。 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4.3二氧化碳浓度范围：0.1%到30.0%，精准度0.1%；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4.4可在高清彩色触屏触屏上任意设置CO</w:t>
      </w:r>
      <w:r w:rsidRPr="00F30E9E">
        <w:rPr>
          <w:rFonts w:ascii="仿宋_GB2312" w:eastAsia="仿宋_GB2312" w:hAnsiTheme="minorEastAsia" w:hint="eastAsia"/>
          <w:color w:val="000000"/>
          <w:sz w:val="32"/>
          <w:szCs w:val="32"/>
          <w:vertAlign w:val="subscript"/>
        </w:rPr>
        <w:t>2</w:t>
      </w: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浓度，仪器自动调节，无需通过更换气罐调节CO</w:t>
      </w:r>
      <w:r w:rsidRPr="00F30E9E">
        <w:rPr>
          <w:rFonts w:ascii="仿宋_GB2312" w:eastAsia="仿宋_GB2312" w:hAnsiTheme="minorEastAsia" w:hint="eastAsia"/>
          <w:color w:val="000000"/>
          <w:sz w:val="32"/>
          <w:szCs w:val="32"/>
          <w:vertAlign w:val="subscript"/>
        </w:rPr>
        <w:t>2</w:t>
      </w: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浓度； 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4.5温度控制范围：室温+7℃ 至45℃，精度0.1℃，</w:t>
      </w:r>
      <w:r w:rsidRPr="00F30E9E">
        <w:rPr>
          <w:rFonts w:ascii="仿宋_GB2312" w:eastAsia="仿宋_GB2312" w:hAnsiTheme="minorEastAsia" w:cs="宋体" w:hint="eastAsia"/>
          <w:color w:val="000000"/>
          <w:sz w:val="32"/>
          <w:szCs w:val="32"/>
        </w:rPr>
        <w:t>可选配增加到50℃，</w:t>
      </w: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精度0.1</w:t>
      </w:r>
      <w:r w:rsidRPr="00F30E9E">
        <w:rPr>
          <w:rFonts w:ascii="仿宋_GB2312" w:eastAsia="仿宋_GB2312" w:hAnsiTheme="minorEastAsia" w:cs="宋体" w:hint="eastAsia"/>
          <w:color w:val="000000"/>
          <w:sz w:val="32"/>
          <w:szCs w:val="32"/>
        </w:rPr>
        <w:t>℃，也可以选配低温到15</w:t>
      </w: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℃，可在高清彩色触屏触屏上任意设置温度，并具有报警功能；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4.6湿度控制范围：室内湿度至75%，特有的保水剂提供湿度。可选配超声湿度控制，湿度控制范围：室内湿度至85%，精度1%，湿度值可显示在高清彩色触屏触屏上，并具</w:t>
      </w: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lastRenderedPageBreak/>
        <w:t>有报警功能。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bookmarkStart w:id="1" w:name="OLE_LINK1"/>
      <w:bookmarkStart w:id="2" w:name="OLE_LINK2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5．</w:t>
      </w:r>
      <w:proofErr w:type="gramStart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裸手操作系统</w:t>
      </w:r>
      <w:proofErr w:type="gramEnd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：带有袖套</w:t>
      </w:r>
      <w:proofErr w:type="gramStart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的裸手系统</w:t>
      </w:r>
      <w:proofErr w:type="gramEnd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，</w:t>
      </w:r>
      <w:proofErr w:type="gramStart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能裸手进入</w:t>
      </w:r>
      <w:proofErr w:type="gramEnd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工作站。进入工作站时只需经过抽真空一次就可进入，保证工作站内部环境稳定。</w:t>
      </w:r>
    </w:p>
    <w:p w:rsidR="002C1CB7" w:rsidRPr="00F30E9E" w:rsidRDefault="002C1CB7" w:rsidP="002C1CB7">
      <w:pPr>
        <w:widowControl/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6.配套带有气体混合器。气体混合机置于工作站内部，节约空间；</w:t>
      </w:r>
    </w:p>
    <w:bookmarkEnd w:id="1"/>
    <w:bookmarkEnd w:id="2"/>
    <w:p w:rsidR="002C1CB7" w:rsidRPr="00F30E9E" w:rsidRDefault="002C1CB7" w:rsidP="002C1CB7">
      <w:pPr>
        <w:widowControl/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6.1气体混合机可进行氧气和二氧化碳4段时间及浓度梯度设定；</w:t>
      </w:r>
    </w:p>
    <w:p w:rsidR="002C1CB7" w:rsidRPr="00F30E9E" w:rsidRDefault="002C1CB7" w:rsidP="002C1CB7">
      <w:pPr>
        <w:widowControl/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6.2氧气循环程序：可进行高达4种氧气浓度的循环，可以自定义设置循环时间及氧气浓度；</w:t>
      </w:r>
    </w:p>
    <w:p w:rsidR="002C1CB7" w:rsidRPr="00F30E9E" w:rsidRDefault="002C1CB7" w:rsidP="002C1CB7">
      <w:pPr>
        <w:widowControl/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6.3二氧化碳循环程序：可进行高达4种二氧化碳浓度的循环，可以自定义设置循环时间及二氧化碳浓度。</w:t>
      </w:r>
    </w:p>
    <w:p w:rsidR="002C1CB7" w:rsidRPr="00F30E9E" w:rsidRDefault="002C1CB7" w:rsidP="002C1CB7">
      <w:pPr>
        <w:widowControl/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7．氧气探头置于工作站内部，采用荧光猝灭法测量氧气浓度，氧气探头不会受到温度、湿度影响，准确性高，3至4年工作寿命，并且具有温度及压力补偿功能。氧气探头具有一键快速（5分钟内）校正功能，无需拆卸，校正十分方便。</w:t>
      </w:r>
    </w:p>
    <w:p w:rsidR="002C1CB7" w:rsidRPr="00F30E9E" w:rsidRDefault="002C1CB7" w:rsidP="002C1CB7">
      <w:pPr>
        <w:widowControl/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8．带有USB端口，可连续180天以上储存数据，包括氧气浓度、二氧化碳浓度、温度、湿度、腔体内压力变化及事件记录等十五种参数，并可将电子数据以excel格式保存，方便进行数据统计分析。</w:t>
      </w:r>
    </w:p>
    <w:p w:rsidR="002C1CB7" w:rsidRPr="00F30E9E" w:rsidRDefault="002C1CB7" w:rsidP="002C1CB7">
      <w:pPr>
        <w:widowControl/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9．带有温度、湿度、氧气浓度、二氧化碳浓和低压视/听报警系统，报警范围可设定。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10．高效HEPA过滤系统，可以使工作站内部洁净度达</w:t>
      </w: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lastRenderedPageBreak/>
        <w:t>到ISO Class 4，并附有检测报告，并带有活性炭过滤系统，特别适合对腔体洁净度要求高的相关研究。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11．操作室内部配有日光灯，亮度可通过触控</w:t>
      </w:r>
      <w:proofErr w:type="gramStart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屏进行</w:t>
      </w:r>
      <w:proofErr w:type="gramEnd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调节。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12．操作室内部带有感应温度的精确温度探头、湿度传感器、压力感应器和真空发生器。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13．除泄压</w:t>
      </w:r>
      <w:proofErr w:type="gramStart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阀设计</w:t>
      </w:r>
      <w:proofErr w:type="gramEnd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外，油槽能够进行辅助的压力缓冲，防止工作站内部压力过大产生安全隐患。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14．兼具有在工作站内直接培养、直接操作（传代、换液）和观察三种功能，是培养、操作</w:t>
      </w:r>
      <w:proofErr w:type="gramStart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兼观察</w:t>
      </w:r>
      <w:proofErr w:type="gramEnd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一体机。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15．可精确控制工作站内整体的温度及低氧环境，无需设置培养小室</w:t>
      </w:r>
      <w:bookmarkStart w:id="3" w:name="OLE_LINK3"/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16. 气体供应：低氧模式连接氮气（纯度99.999%）气体钢瓶、二氧化碳（纯度99.999%）</w:t>
      </w:r>
      <w:r w:rsidRPr="00F30E9E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气体钢瓶、压缩空气气体钢瓶</w:t>
      </w: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。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17.</w:t>
      </w:r>
      <w:proofErr w:type="gramStart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标配</w:t>
      </w:r>
      <w:proofErr w:type="gramEnd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LED照明灯，</w:t>
      </w:r>
      <w:proofErr w:type="gramStart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标配8位</w:t>
      </w:r>
      <w:proofErr w:type="gramEnd"/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电源走线预留孔。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18.可加配显微镜观察模块。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19. 生产厂家具有ISO认证资格。</w:t>
      </w:r>
    </w:p>
    <w:p w:rsidR="002C1CB7" w:rsidRPr="00F30E9E" w:rsidRDefault="002C1CB7" w:rsidP="002C1CB7">
      <w:pPr>
        <w:spacing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F30E9E">
        <w:rPr>
          <w:rFonts w:ascii="仿宋_GB2312" w:eastAsia="仿宋_GB2312" w:hAnsiTheme="minorEastAsia" w:hint="eastAsia"/>
          <w:color w:val="000000"/>
          <w:sz w:val="32"/>
          <w:szCs w:val="32"/>
        </w:rPr>
        <w:t>20．整机保修2年。</w:t>
      </w:r>
      <w:bookmarkEnd w:id="3"/>
    </w:p>
    <w:p w:rsidR="002C1CB7" w:rsidRDefault="002C1CB7" w:rsidP="002C1CB7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2C1CB7" w:rsidRDefault="002C1CB7" w:rsidP="002C1CB7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2C1CB7" w:rsidRDefault="002C1CB7" w:rsidP="002C1CB7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2C1CB7" w:rsidRDefault="002C1CB7" w:rsidP="002C1CB7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2C1CB7" w:rsidRDefault="002C1CB7" w:rsidP="002C1CB7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2C1CB7" w:rsidRPr="00F30E9E" w:rsidRDefault="002C1CB7" w:rsidP="002C1CB7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4" w:name="_GoBack"/>
      <w:bookmarkEnd w:id="4"/>
      <w:r>
        <w:rPr>
          <w:rFonts w:ascii="黑体" w:eastAsia="黑体" w:hAnsi="黑体" w:hint="eastAsia"/>
          <w:sz w:val="32"/>
          <w:szCs w:val="32"/>
        </w:rPr>
        <w:lastRenderedPageBreak/>
        <w:t>报名</w:t>
      </w:r>
      <w:r w:rsidRPr="00F30E9E">
        <w:rPr>
          <w:rFonts w:ascii="黑体" w:eastAsia="黑体" w:hAnsi="黑体" w:hint="eastAsia"/>
          <w:sz w:val="32"/>
          <w:szCs w:val="32"/>
        </w:rPr>
        <w:t>资料6附件：</w:t>
      </w:r>
    </w:p>
    <w:p w:rsidR="002C1CB7" w:rsidRPr="00F30E9E" w:rsidRDefault="002C1CB7" w:rsidP="002C1CB7">
      <w:pPr>
        <w:spacing w:line="560" w:lineRule="exact"/>
        <w:jc w:val="center"/>
        <w:rPr>
          <w:rFonts w:ascii="仿宋_GB2312" w:eastAsia="仿宋_GB2312" w:hAnsi="宋体"/>
          <w:b/>
          <w:sz w:val="32"/>
          <w:szCs w:val="32"/>
          <w:lang w:val="zh-CN"/>
        </w:rPr>
      </w:pPr>
      <w:r w:rsidRPr="00F30E9E">
        <w:rPr>
          <w:rFonts w:ascii="仿宋_GB2312" w:eastAsia="仿宋_GB2312" w:hAnsi="宋体" w:hint="eastAsia"/>
          <w:b/>
          <w:sz w:val="32"/>
          <w:szCs w:val="32"/>
          <w:lang w:val="zh-CN"/>
        </w:rPr>
        <w:t>未被列入违法失信名单承诺书</w:t>
      </w:r>
    </w:p>
    <w:p w:rsidR="002C1CB7" w:rsidRPr="00F02250" w:rsidRDefault="002C1CB7" w:rsidP="002C1CB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  <w:lang w:val="zh-CN"/>
        </w:rPr>
        <w:t>我方参加贵方组织的项目编号</w:t>
      </w:r>
      <w:r w:rsidRPr="00F02250">
        <w:rPr>
          <w:rFonts w:ascii="仿宋_GB2312" w:eastAsia="仿宋_GB2312" w:hAnsi="宋体" w:hint="eastAsia"/>
          <w:sz w:val="32"/>
          <w:szCs w:val="32"/>
          <w:lang w:val="zh-CN"/>
        </w:rPr>
        <w:t>为</w:t>
      </w:r>
      <w:r w:rsidRPr="00F02250">
        <w:rPr>
          <w:rFonts w:ascii="仿宋_GB2312" w:eastAsia="仿宋_GB2312" w:hAnsi="宋体"/>
          <w:sz w:val="32"/>
          <w:szCs w:val="32"/>
          <w:lang w:val="zh-CN"/>
        </w:rPr>
        <w:t>2022-JQ34-W1006</w:t>
      </w:r>
      <w:r w:rsidRPr="00F02250">
        <w:rPr>
          <w:rFonts w:ascii="仿宋_GB2312" w:eastAsia="仿宋_GB2312" w:hAnsi="宋体" w:hint="eastAsia"/>
          <w:sz w:val="32"/>
          <w:szCs w:val="32"/>
          <w:lang w:val="zh-CN"/>
        </w:rPr>
        <w:t>的“</w:t>
      </w:r>
      <w:r w:rsidRPr="00F02250">
        <w:rPr>
          <w:rFonts w:ascii="仿宋_GB2312" w:eastAsia="仿宋_GB2312" w:hAnsi="宋体"/>
          <w:sz w:val="32"/>
          <w:szCs w:val="32"/>
          <w:lang w:val="zh-CN"/>
        </w:rPr>
        <w:t>5</w:t>
      </w:r>
      <w:r w:rsidRPr="00F02250">
        <w:rPr>
          <w:rFonts w:ascii="仿宋_GB2312" w:eastAsia="仿宋_GB2312" w:hAnsi="宋体" w:hint="eastAsia"/>
          <w:sz w:val="32"/>
          <w:szCs w:val="32"/>
          <w:lang w:val="zh-CN"/>
        </w:rPr>
        <w:t>项科研设备项目”投标，在此郑重承诺如下：</w:t>
      </w:r>
    </w:p>
    <w:p w:rsidR="002C1CB7" w:rsidRDefault="002C1CB7" w:rsidP="002C1CB7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Ansi="宋体" w:hint="eastAsia"/>
          <w:sz w:val="32"/>
          <w:szCs w:val="32"/>
        </w:rPr>
        <w:t>未被“信用中国”网站列入失信被执行人、重大税收违法案件当事人名单，未被列入政府采购严重失信行为记录名单，未被列入军队供应商暂停名单、未在军队采购供应商失信名单禁入处罚期内。</w:t>
      </w:r>
    </w:p>
    <w:p w:rsidR="002C1CB7" w:rsidRDefault="002C1CB7" w:rsidP="002C1CB7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>违反上述承诺，愿承担一切法律责任，接受军队采购管理部门和采购机构按国家和军队规定</w:t>
      </w:r>
      <w:proofErr w:type="gramStart"/>
      <w:r>
        <w:rPr>
          <w:rFonts w:ascii="仿宋_GB2312" w:eastAsia="仿宋_GB2312" w:hint="eastAsia"/>
          <w:sz w:val="32"/>
          <w:szCs w:val="32"/>
          <w:lang w:val="zh-CN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  <w:lang w:val="zh-CN"/>
        </w:rPr>
        <w:t>的相关处罚。</w:t>
      </w:r>
    </w:p>
    <w:p w:rsidR="002C1CB7" w:rsidRDefault="002C1CB7" w:rsidP="002C1CB7">
      <w:pPr>
        <w:spacing w:line="560" w:lineRule="exact"/>
        <w:ind w:firstLineChars="402" w:firstLine="1286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 xml:space="preserve">            </w:t>
      </w:r>
    </w:p>
    <w:p w:rsidR="002C1CB7" w:rsidRDefault="002C1CB7" w:rsidP="002C1CB7">
      <w:pPr>
        <w:spacing w:line="560" w:lineRule="exact"/>
        <w:ind w:firstLineChars="402" w:firstLine="1286"/>
        <w:rPr>
          <w:rFonts w:ascii="仿宋_GB2312" w:eastAsia="仿宋_GB2312"/>
          <w:sz w:val="32"/>
          <w:szCs w:val="32"/>
          <w:lang w:val="zh-CN"/>
        </w:rPr>
      </w:pPr>
    </w:p>
    <w:p w:rsidR="002C1CB7" w:rsidRDefault="002C1CB7" w:rsidP="002C1CB7">
      <w:pPr>
        <w:spacing w:line="560" w:lineRule="exact"/>
        <w:ind w:firstLineChars="402" w:firstLine="1286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 xml:space="preserve">             投标供应商全称：（盖章）</w:t>
      </w:r>
    </w:p>
    <w:p w:rsidR="002C1CB7" w:rsidRDefault="002C1CB7" w:rsidP="002C1CB7">
      <w:pPr>
        <w:spacing w:line="560" w:lineRule="exact"/>
        <w:ind w:leftChars="1596" w:left="3352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>法定代表人（或授权代表）：（签字）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 2022年</w:t>
      </w:r>
      <w:r>
        <w:rPr>
          <w:rFonts w:ascii="仿宋_GB2312" w:eastAsia="仿宋_GB2312" w:hAnsi="宋体" w:hint="eastAsia"/>
          <w:color w:val="FF0000"/>
          <w:sz w:val="32"/>
          <w:szCs w:val="32"/>
        </w:rPr>
        <w:t>×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color w:val="FF0000"/>
          <w:sz w:val="32"/>
          <w:szCs w:val="32"/>
        </w:rPr>
        <w:t>××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2C1CB7" w:rsidRPr="002C1CB7" w:rsidRDefault="002C1CB7" w:rsidP="002C1CB7">
      <w:pPr>
        <w:rPr>
          <w:sz w:val="32"/>
          <w:szCs w:val="32"/>
        </w:rPr>
      </w:pPr>
    </w:p>
    <w:p w:rsidR="002C1CB7" w:rsidRPr="002C1CB7" w:rsidRDefault="002C1CB7" w:rsidP="002C1CB7">
      <w:pPr>
        <w:rPr>
          <w:sz w:val="32"/>
          <w:szCs w:val="32"/>
        </w:rPr>
      </w:pPr>
    </w:p>
    <w:p w:rsidR="002C1CB7" w:rsidRPr="002C1CB7" w:rsidRDefault="002C1CB7" w:rsidP="002C1CB7">
      <w:pPr>
        <w:rPr>
          <w:sz w:val="32"/>
          <w:szCs w:val="32"/>
        </w:rPr>
      </w:pPr>
    </w:p>
    <w:p w:rsidR="002C1CB7" w:rsidRPr="002C1CB7" w:rsidRDefault="002C1CB7" w:rsidP="002C1CB7">
      <w:pPr>
        <w:rPr>
          <w:sz w:val="32"/>
          <w:szCs w:val="32"/>
        </w:rPr>
      </w:pPr>
    </w:p>
    <w:p w:rsidR="002C1CB7" w:rsidRPr="002C1CB7" w:rsidRDefault="002C1CB7" w:rsidP="002C1CB7">
      <w:pPr>
        <w:rPr>
          <w:sz w:val="32"/>
          <w:szCs w:val="32"/>
        </w:rPr>
      </w:pPr>
    </w:p>
    <w:p w:rsidR="002C1CB7" w:rsidRPr="002C1CB7" w:rsidRDefault="002C1CB7" w:rsidP="002C1CB7">
      <w:pPr>
        <w:rPr>
          <w:sz w:val="32"/>
          <w:szCs w:val="32"/>
        </w:rPr>
      </w:pPr>
    </w:p>
    <w:p w:rsidR="002C1CB7" w:rsidRPr="002C1CB7" w:rsidRDefault="002C1CB7" w:rsidP="002C1CB7">
      <w:pPr>
        <w:rPr>
          <w:sz w:val="32"/>
          <w:szCs w:val="32"/>
        </w:rPr>
      </w:pPr>
    </w:p>
    <w:p w:rsidR="002C1CB7" w:rsidRPr="002C1CB7" w:rsidRDefault="002C1CB7" w:rsidP="002C1CB7">
      <w:pPr>
        <w:rPr>
          <w:sz w:val="32"/>
          <w:szCs w:val="32"/>
        </w:rPr>
      </w:pPr>
    </w:p>
    <w:p w:rsidR="002C1CB7" w:rsidRPr="002C1CB7" w:rsidRDefault="002C1CB7" w:rsidP="002C1CB7">
      <w:pPr>
        <w:rPr>
          <w:sz w:val="32"/>
          <w:szCs w:val="32"/>
        </w:rPr>
      </w:pPr>
    </w:p>
    <w:p w:rsidR="002C1CB7" w:rsidRPr="002C1CB7" w:rsidRDefault="002C1CB7" w:rsidP="002C1CB7">
      <w:pPr>
        <w:rPr>
          <w:sz w:val="32"/>
          <w:szCs w:val="32"/>
        </w:rPr>
      </w:pPr>
    </w:p>
    <w:p w:rsidR="00061409" w:rsidRPr="002C1CB7" w:rsidRDefault="0098615C" w:rsidP="002C1CB7">
      <w:pPr>
        <w:rPr>
          <w:sz w:val="32"/>
          <w:szCs w:val="32"/>
        </w:rPr>
      </w:pPr>
    </w:p>
    <w:sectPr w:rsidR="00061409" w:rsidRPr="002C1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5C" w:rsidRDefault="0098615C" w:rsidP="002C1CB7">
      <w:r>
        <w:separator/>
      </w:r>
    </w:p>
  </w:endnote>
  <w:endnote w:type="continuationSeparator" w:id="0">
    <w:p w:rsidR="0098615C" w:rsidRDefault="0098615C" w:rsidP="002C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5C" w:rsidRDefault="0098615C" w:rsidP="002C1CB7">
      <w:r>
        <w:separator/>
      </w:r>
    </w:p>
  </w:footnote>
  <w:footnote w:type="continuationSeparator" w:id="0">
    <w:p w:rsidR="0098615C" w:rsidRDefault="0098615C" w:rsidP="002C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657"/>
    <w:multiLevelType w:val="hybridMultilevel"/>
    <w:tmpl w:val="BA6417A2"/>
    <w:lvl w:ilvl="0" w:tplc="FF8C66A2">
      <w:start w:val="3"/>
      <w:numFmt w:val="japaneseCounting"/>
      <w:lvlText w:val="%1、"/>
      <w:lvlJc w:val="left"/>
      <w:pPr>
        <w:ind w:left="1360" w:hanging="720"/>
      </w:pPr>
      <w:rPr>
        <w:rFonts w:cs="Arial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71"/>
    <w:rsid w:val="002C1CB7"/>
    <w:rsid w:val="003D451E"/>
    <w:rsid w:val="00663371"/>
    <w:rsid w:val="0098615C"/>
    <w:rsid w:val="00C0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C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CB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C1C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1"/>
    <w:uiPriority w:val="10"/>
    <w:qFormat/>
    <w:rsid w:val="002C1CB7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2">
    <w:name w:val="标题 Char"/>
    <w:basedOn w:val="a0"/>
    <w:uiPriority w:val="10"/>
    <w:rsid w:val="002C1CB7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7">
    <w:name w:val="正文 A"/>
    <w:uiPriority w:val="99"/>
    <w:qFormat/>
    <w:rsid w:val="002C1CB7"/>
    <w:rPr>
      <w:rFonts w:ascii="Arial Unicode MS" w:eastAsia="Arial Unicode MS" w:hAnsi="Arial Unicode MS" w:cs="Arial Unicode MS"/>
      <w:color w:val="000000"/>
      <w:kern w:val="0"/>
      <w:sz w:val="24"/>
      <w:szCs w:val="24"/>
      <w:u w:color="000000"/>
    </w:rPr>
  </w:style>
  <w:style w:type="character" w:customStyle="1" w:styleId="Char1">
    <w:name w:val="标题 Char1"/>
    <w:basedOn w:val="a0"/>
    <w:link w:val="a6"/>
    <w:uiPriority w:val="10"/>
    <w:locked/>
    <w:rsid w:val="002C1CB7"/>
    <w:rPr>
      <w:rFonts w:ascii="Cambria" w:hAnsi="Cambria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C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CB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C1C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1"/>
    <w:uiPriority w:val="10"/>
    <w:qFormat/>
    <w:rsid w:val="002C1CB7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2">
    <w:name w:val="标题 Char"/>
    <w:basedOn w:val="a0"/>
    <w:uiPriority w:val="10"/>
    <w:rsid w:val="002C1CB7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7">
    <w:name w:val="正文 A"/>
    <w:uiPriority w:val="99"/>
    <w:qFormat/>
    <w:rsid w:val="002C1CB7"/>
    <w:rPr>
      <w:rFonts w:ascii="Arial Unicode MS" w:eastAsia="Arial Unicode MS" w:hAnsi="Arial Unicode MS" w:cs="Arial Unicode MS"/>
      <w:color w:val="000000"/>
      <w:kern w:val="0"/>
      <w:sz w:val="24"/>
      <w:szCs w:val="24"/>
      <w:u w:color="000000"/>
    </w:rPr>
  </w:style>
  <w:style w:type="character" w:customStyle="1" w:styleId="Char1">
    <w:name w:val="标题 Char1"/>
    <w:basedOn w:val="a0"/>
    <w:link w:val="a6"/>
    <w:uiPriority w:val="10"/>
    <w:locked/>
    <w:rsid w:val="002C1CB7"/>
    <w:rPr>
      <w:rFonts w:ascii="Cambria" w:hAnsi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1003</Words>
  <Characters>5720</Characters>
  <Application>Microsoft Office Word</Application>
  <DocSecurity>0</DocSecurity>
  <Lines>47</Lines>
  <Paragraphs>13</Paragraphs>
  <ScaleCrop>false</ScaleCrop>
  <Company>MS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2022-07-05T06:44:00Z</dcterms:created>
  <dcterms:modified xsi:type="dcterms:W3CDTF">2022-07-05T06:46:00Z</dcterms:modified>
</cp:coreProperties>
</file>