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hint="eastAsia" w:ascii="黑体" w:hAnsi="黑体" w:eastAsia="黑体" w:cs="仿宋_GB2312"/>
          <w:b/>
          <w:sz w:val="44"/>
          <w:szCs w:val="44"/>
          <w:lang w:val="zh-CN" w:eastAsia="zh-CN"/>
        </w:rPr>
      </w:pPr>
      <w:r>
        <w:rPr>
          <w:rFonts w:hint="eastAsia" w:ascii="黑体" w:hAnsi="黑体" w:eastAsia="黑体" w:cs="仿宋_GB2312"/>
          <w:b/>
          <w:sz w:val="44"/>
          <w:szCs w:val="44"/>
          <w:lang w:val="zh-CN" w:eastAsia="zh-CN"/>
        </w:rPr>
        <w:t>中国铁路兰州局集团有限公司客运部</w:t>
      </w:r>
    </w:p>
    <w:p>
      <w:pPr>
        <w:spacing w:line="360" w:lineRule="auto"/>
        <w:jc w:val="center"/>
        <w:rPr>
          <w:rFonts w:hint="eastAsia" w:ascii="黑体" w:hAnsi="黑体" w:eastAsia="黑体" w:cs="仿宋_GB2312"/>
          <w:b/>
          <w:sz w:val="44"/>
          <w:szCs w:val="44"/>
          <w:lang w:val="zh-CN"/>
        </w:rPr>
      </w:pPr>
      <w:bookmarkStart w:id="0" w:name="_GoBack"/>
      <w:bookmarkEnd w:id="0"/>
      <w:r>
        <w:rPr>
          <w:rFonts w:hint="eastAsia" w:ascii="黑体" w:hAnsi="黑体" w:eastAsia="黑体" w:cs="仿宋_GB2312"/>
          <w:b/>
          <w:sz w:val="44"/>
          <w:szCs w:val="44"/>
          <w:lang w:val="zh-CN"/>
        </w:rPr>
        <w:t>采购项目</w:t>
      </w: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r>
        <w:rPr>
          <w:rFonts w:hint="eastAsia" w:ascii="黑体" w:hAnsi="黑体" w:eastAsia="黑体" w:cs="仿宋_GB2312"/>
          <w:b/>
          <w:sz w:val="44"/>
          <w:szCs w:val="44"/>
          <w:lang w:val="zh-CN"/>
        </w:rPr>
        <w:t>用户需求书</w:t>
      </w:r>
    </w:p>
    <w:p>
      <w:pPr>
        <w:spacing w:line="360" w:lineRule="auto"/>
        <w:jc w:val="center"/>
        <w:rPr>
          <w:rFonts w:ascii="楷体_GB2312" w:hAnsi="黑体" w:eastAsia="楷体_GB2312"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jc w:val="center"/>
        <w:rPr>
          <w:rFonts w:ascii="黑体" w:hAnsi="黑体" w:eastAsia="黑体" w:cs="仿宋_GB2312"/>
          <w:b/>
          <w:sz w:val="44"/>
          <w:szCs w:val="44"/>
          <w:lang w:val="zh-CN"/>
        </w:rPr>
      </w:pPr>
    </w:p>
    <w:p>
      <w:pPr>
        <w:spacing w:line="360" w:lineRule="auto"/>
        <w:rPr>
          <w:rFonts w:ascii="黑体" w:hAnsi="黑体" w:eastAsia="黑体" w:cs="仿宋_GB2312"/>
          <w:b/>
          <w:sz w:val="44"/>
          <w:szCs w:val="44"/>
          <w:lang w:val="zh-CN"/>
        </w:rPr>
      </w:pPr>
    </w:p>
    <w:p>
      <w:pPr>
        <w:spacing w:line="360" w:lineRule="auto"/>
        <w:rPr>
          <w:rFonts w:ascii="黑体" w:hAnsi="黑体" w:eastAsia="黑体" w:cs="仿宋_GB2312"/>
          <w:b/>
          <w:sz w:val="44"/>
          <w:szCs w:val="44"/>
          <w:lang w:val="zh-CN"/>
        </w:rPr>
      </w:pPr>
    </w:p>
    <w:p>
      <w:pPr>
        <w:tabs>
          <w:tab w:val="left" w:pos="1140"/>
        </w:tabs>
        <w:spacing w:line="440" w:lineRule="exact"/>
        <w:ind w:firstLine="643" w:firstLineChars="200"/>
        <w:rPr>
          <w:rFonts w:ascii="仿宋_GB2312" w:hAnsi="华文中宋" w:eastAsia="仿宋_GB2312"/>
          <w:b/>
          <w:w w:val="90"/>
          <w:sz w:val="28"/>
          <w:szCs w:val="28"/>
        </w:rPr>
      </w:pPr>
      <w:r>
        <w:rPr>
          <w:rFonts w:hint="eastAsia" w:ascii="仿宋_GB2312" w:eastAsia="仿宋_GB2312" w:cs="仿宋_GB2312"/>
          <w:b/>
          <w:sz w:val="32"/>
          <w:szCs w:val="32"/>
          <w:lang w:val="zh-CN"/>
        </w:rPr>
        <w:t>采购项目名称：</w:t>
      </w:r>
      <w:r>
        <w:rPr>
          <w:rFonts w:hint="eastAsia" w:ascii="仿宋_GB2312" w:hAnsi="黑体" w:eastAsia="仿宋_GB2312" w:cs="仿宋_GB2312"/>
          <w:color w:val="000000"/>
          <w:w w:val="90"/>
          <w:sz w:val="32"/>
          <w:szCs w:val="32"/>
          <w:u w:val="single"/>
        </w:rPr>
        <w:t>基于移动运营商大数据分析铁路客流应用研究</w:t>
      </w:r>
    </w:p>
    <w:p>
      <w:pPr>
        <w:tabs>
          <w:tab w:val="left" w:pos="1140"/>
        </w:tabs>
        <w:spacing w:line="440" w:lineRule="exact"/>
        <w:ind w:firstLine="948" w:firstLineChars="295"/>
        <w:rPr>
          <w:rFonts w:ascii="仿宋_GB2312" w:eastAsia="仿宋_GB2312" w:cs="仿宋_GB2312"/>
          <w:b/>
          <w:sz w:val="32"/>
          <w:szCs w:val="32"/>
          <w:u w:val="single"/>
        </w:rPr>
      </w:pPr>
      <w:r>
        <w:rPr>
          <w:rFonts w:hint="eastAsia" w:ascii="仿宋_GB2312" w:eastAsia="仿宋_GB2312" w:cs="仿宋_GB2312"/>
          <w:b/>
          <w:sz w:val="32"/>
          <w:szCs w:val="32"/>
          <w:lang w:val="zh-CN"/>
        </w:rPr>
        <w:t xml:space="preserve">采购需求部门承办人（签字）：  </w:t>
      </w:r>
    </w:p>
    <w:p>
      <w:pPr>
        <w:tabs>
          <w:tab w:val="left" w:pos="8476"/>
        </w:tabs>
        <w:spacing w:line="360" w:lineRule="auto"/>
        <w:ind w:firstLine="964" w:firstLineChars="300"/>
        <w:rPr>
          <w:rFonts w:ascii="仿宋_GB2312" w:eastAsia="仿宋_GB2312" w:cs="仿宋_GB2312"/>
          <w:b/>
          <w:sz w:val="32"/>
          <w:szCs w:val="32"/>
          <w:u w:val="single"/>
          <w:lang w:val="zh-CN"/>
        </w:rPr>
      </w:pPr>
      <w:r>
        <w:rPr>
          <w:rFonts w:hint="eastAsia" w:ascii="仿宋_GB2312" w:eastAsia="仿宋_GB2312" w:cs="仿宋_GB2312"/>
          <w:b/>
          <w:sz w:val="32"/>
          <w:szCs w:val="32"/>
          <w:lang w:val="zh-CN"/>
        </w:rPr>
        <w:t xml:space="preserve">采购需求部门负责人（签字）：  </w:t>
      </w:r>
    </w:p>
    <w:p>
      <w:pPr>
        <w:spacing w:line="360" w:lineRule="auto"/>
        <w:ind w:firstLine="964" w:firstLineChars="300"/>
        <w:rPr>
          <w:rFonts w:ascii="仿宋_GB2312" w:eastAsia="仿宋_GB2312" w:cs="仿宋_GB2312"/>
          <w:b/>
          <w:sz w:val="32"/>
          <w:szCs w:val="32"/>
          <w:lang w:val="zh-CN"/>
        </w:rPr>
      </w:pPr>
      <w:r>
        <w:rPr>
          <w:rFonts w:hint="eastAsia" w:ascii="仿宋_GB2312" w:eastAsia="仿宋_GB2312" w:cs="仿宋_GB2312"/>
          <w:b/>
          <w:sz w:val="32"/>
          <w:szCs w:val="32"/>
          <w:lang w:val="zh-CN"/>
        </w:rPr>
        <w:t>采购需求部门主管段长（签字）：</w:t>
      </w:r>
    </w:p>
    <w:p>
      <w:pPr>
        <w:spacing w:line="360" w:lineRule="auto"/>
        <w:ind w:firstLine="3200" w:firstLineChars="1000"/>
        <w:rPr>
          <w:rFonts w:ascii="仿宋_GB2312" w:eastAsia="仿宋_GB2312" w:cs="仿宋_GB2312"/>
          <w:sz w:val="32"/>
          <w:szCs w:val="32"/>
          <w:lang w:val="zh-CN"/>
        </w:rPr>
      </w:pPr>
    </w:p>
    <w:p>
      <w:pPr>
        <w:spacing w:line="360" w:lineRule="auto"/>
        <w:ind w:firstLine="3200" w:firstLineChars="1000"/>
        <w:rPr>
          <w:rFonts w:ascii="仿宋_GB2312" w:eastAsia="仿宋_GB2312" w:cs="仿宋_GB2312"/>
          <w:sz w:val="32"/>
          <w:szCs w:val="32"/>
          <w:lang w:val="zh-CN"/>
        </w:rPr>
      </w:pPr>
      <w:r>
        <w:rPr>
          <w:rFonts w:hint="eastAsia" w:ascii="仿宋_GB2312" w:eastAsia="仿宋_GB2312" w:cs="仿宋_GB2312"/>
          <w:sz w:val="32"/>
          <w:szCs w:val="32"/>
          <w:lang w:val="zh-CN"/>
        </w:rPr>
        <w:t xml:space="preserve">              年 </w:t>
      </w:r>
      <w:r>
        <w:rPr>
          <w:rFonts w:ascii="仿宋_GB2312" w:eastAsia="仿宋_GB2312" w:cs="仿宋_GB2312"/>
          <w:sz w:val="32"/>
          <w:szCs w:val="32"/>
          <w:lang w:val="zh-CN"/>
        </w:rPr>
        <w:t xml:space="preserve"> </w:t>
      </w:r>
      <w:r>
        <w:rPr>
          <w:rFonts w:hint="eastAsia" w:ascii="仿宋_GB2312" w:eastAsia="仿宋_GB2312" w:cs="仿宋_GB2312"/>
          <w:sz w:val="32"/>
          <w:szCs w:val="32"/>
          <w:lang w:val="zh-CN"/>
        </w:rPr>
        <w:t xml:space="preserve"> 月 </w:t>
      </w:r>
      <w:r>
        <w:rPr>
          <w:rFonts w:ascii="仿宋_GB2312" w:eastAsia="仿宋_GB2312" w:cs="仿宋_GB2312"/>
          <w:sz w:val="32"/>
          <w:szCs w:val="32"/>
          <w:lang w:val="zh-CN"/>
        </w:rPr>
        <w:t xml:space="preserve"> </w:t>
      </w:r>
      <w:r>
        <w:rPr>
          <w:rFonts w:hint="eastAsia" w:ascii="仿宋_GB2312" w:eastAsia="仿宋_GB2312" w:cs="仿宋_GB2312"/>
          <w:sz w:val="32"/>
          <w:szCs w:val="32"/>
          <w:lang w:val="zh-CN"/>
        </w:rPr>
        <w:t xml:space="preserve"> 日</w:t>
      </w:r>
    </w:p>
    <w:p>
      <w:pPr>
        <w:tabs>
          <w:tab w:val="left" w:pos="1140"/>
        </w:tabs>
        <w:spacing w:line="520" w:lineRule="exact"/>
        <w:ind w:firstLine="355" w:firstLineChars="148"/>
        <w:rPr>
          <w:color w:val="000000"/>
          <w:szCs w:val="21"/>
        </w:rPr>
      </w:pPr>
    </w:p>
    <w:p>
      <w:pPr>
        <w:tabs>
          <w:tab w:val="left" w:pos="1140"/>
        </w:tabs>
        <w:spacing w:line="520" w:lineRule="exact"/>
        <w:ind w:firstLine="355" w:firstLineChars="148"/>
        <w:rPr>
          <w:color w:val="000000"/>
          <w:szCs w:val="21"/>
        </w:rPr>
      </w:pPr>
    </w:p>
    <w:p>
      <w:pPr>
        <w:tabs>
          <w:tab w:val="left" w:pos="1140"/>
        </w:tabs>
        <w:spacing w:line="520" w:lineRule="exact"/>
        <w:ind w:firstLine="446" w:firstLineChars="148"/>
        <w:rPr>
          <w:b/>
          <w:color w:val="000000"/>
          <w:sz w:val="30"/>
          <w:szCs w:val="30"/>
        </w:rPr>
      </w:pPr>
      <w:r>
        <w:rPr>
          <w:rFonts w:hint="eastAsia"/>
          <w:b/>
          <w:color w:val="000000"/>
          <w:sz w:val="30"/>
          <w:szCs w:val="30"/>
        </w:rPr>
        <w:t>一、项目概况</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1.1 项目编号：LZJKY2021003-3</w:t>
      </w:r>
    </w:p>
    <w:p>
      <w:pPr>
        <w:tabs>
          <w:tab w:val="left" w:pos="1140"/>
        </w:tabs>
        <w:spacing w:line="560" w:lineRule="exact"/>
        <w:rPr>
          <w:rFonts w:asciiTheme="minorEastAsia" w:hAnsiTheme="minorEastAsia" w:eastAsiaTheme="minorEastAsia"/>
          <w:highlight w:val="yellow"/>
        </w:rPr>
      </w:pPr>
      <w:r>
        <w:rPr>
          <w:rFonts w:hint="eastAsia" w:asciiTheme="minorEastAsia" w:hAnsiTheme="minorEastAsia" w:eastAsiaTheme="minorEastAsia"/>
        </w:rPr>
        <w:t>1.2 资金来源：</w:t>
      </w:r>
      <w:r>
        <w:rPr>
          <w:rFonts w:hint="eastAsia" w:asciiTheme="minorEastAsia" w:hAnsiTheme="minorEastAsia" w:eastAsiaTheme="minorEastAsia"/>
          <w:highlight w:val="yellow"/>
        </w:rPr>
        <w:t>兰铁科信函〔2021〕</w:t>
      </w:r>
      <w:r>
        <w:rPr>
          <w:rFonts w:hint="eastAsia" w:asciiTheme="minorEastAsia" w:hAnsiTheme="minorEastAsia" w:eastAsiaTheme="minorEastAsia"/>
          <w:highlight w:val="yellow"/>
          <w:lang w:val="en-US" w:eastAsia="zh-CN"/>
        </w:rPr>
        <w:t>264</w:t>
      </w:r>
      <w:r>
        <w:rPr>
          <w:rFonts w:hint="eastAsia" w:asciiTheme="minorEastAsia" w:hAnsiTheme="minorEastAsia" w:eastAsiaTheme="minorEastAsia"/>
          <w:highlight w:val="yellow"/>
        </w:rPr>
        <w:t>号</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1.3 项目名称：基于移动运营商大数据分析铁路客流应用研究</w:t>
      </w:r>
    </w:p>
    <w:p>
      <w:pPr>
        <w:tabs>
          <w:tab w:val="left" w:pos="1140"/>
        </w:tabs>
        <w:spacing w:line="560" w:lineRule="exact"/>
        <w:rPr>
          <w:rFonts w:hint="eastAsia" w:asciiTheme="minorEastAsia" w:hAnsiTheme="minorEastAsia" w:eastAsiaTheme="minorEastAsia"/>
        </w:rPr>
      </w:pPr>
      <w:r>
        <w:rPr>
          <w:rFonts w:hint="eastAsia" w:asciiTheme="minorEastAsia" w:hAnsiTheme="minorEastAsia" w:eastAsiaTheme="minorEastAsia"/>
        </w:rPr>
        <w:t>1.4项目预算：10万元（不含税）</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1.5项目明细：</w:t>
      </w:r>
    </w:p>
    <w:p>
      <w:pPr>
        <w:tabs>
          <w:tab w:val="left" w:pos="1140"/>
        </w:tabs>
        <w:spacing w:line="560" w:lineRule="exact"/>
        <w:ind w:firstLine="480" w:firstLineChars="200"/>
        <w:rPr>
          <w:rFonts w:asciiTheme="minorEastAsia" w:hAnsiTheme="minorEastAsia" w:eastAsiaTheme="minorEastAsia"/>
        </w:rPr>
      </w:pPr>
      <w:r>
        <w:rPr>
          <w:rFonts w:hint="eastAsia" w:asciiTheme="minorEastAsia" w:hAnsiTheme="minorEastAsia" w:eastAsiaTheme="minorEastAsia"/>
        </w:rPr>
        <w:t>铁路客运作为面向公众提供中远途旅客运输服务的重要领域，充分利用移动运营商针对人口热力图、人群画像、迁徙路径、客流规模预测及趋势分析、枢纽可能洞察等大数据分析能力。对移动大数据在铁路客运分析应用开展专项研究，提早规划应用方案，以大数据手段持续推进应用系统整合和业务联动，实现地市客流分析、站场监测分析、客流预测分析等业务能力与数据驱动能力，对企业提质增效具有明确的现实意义。</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形成《铁路客运基于移动运营商大数据分析应用研究》专题技术报告一份；</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（2）</w:t>
      </w:r>
      <w:r>
        <w:rPr>
          <w:rFonts w:asciiTheme="minorEastAsia" w:hAnsiTheme="minorEastAsia" w:eastAsiaTheme="minorEastAsia"/>
        </w:rPr>
        <w:t>在国家核心学术期刊发表1—2篇相关研究论文</w:t>
      </w:r>
      <w:r>
        <w:rPr>
          <w:rFonts w:hint="eastAsia" w:asciiTheme="minorEastAsia" w:hAnsiTheme="minorEastAsia" w:eastAsiaTheme="minorEastAsia"/>
        </w:rPr>
        <w:t>；</w:t>
      </w:r>
    </w:p>
    <w:p>
      <w:pPr>
        <w:spacing w:line="360" w:lineRule="auto"/>
        <w:ind w:firstLine="482" w:firstLineChars="200"/>
        <w:rPr>
          <w:rFonts w:asciiTheme="minorEastAsia" w:hAnsiTheme="minorEastAsia" w:eastAsiaTheme="minorEastAsia"/>
          <w:b/>
        </w:rPr>
      </w:pPr>
      <w:r>
        <w:rPr>
          <w:rFonts w:hint="eastAsia" w:asciiTheme="minorEastAsia" w:hAnsiTheme="minorEastAsia" w:eastAsiaTheme="minorEastAsia"/>
          <w:b/>
        </w:rPr>
        <w:t>※响应要求</w:t>
      </w:r>
    </w:p>
    <w:p>
      <w:pPr>
        <w:tabs>
          <w:tab w:val="left" w:pos="1140"/>
        </w:tabs>
        <w:spacing w:line="560" w:lineRule="exact"/>
        <w:rPr>
          <w:rFonts w:asciiTheme="minorEastAsia" w:hAnsiTheme="minorEastAsia" w:eastAsiaTheme="minorEastAsia"/>
          <w:b/>
        </w:rPr>
      </w:pPr>
      <w:r>
        <w:rPr>
          <w:rFonts w:hint="eastAsia" w:asciiTheme="minorEastAsia" w:hAnsiTheme="minorEastAsia" w:eastAsiaTheme="minorEastAsia"/>
        </w:rPr>
        <w:t xml:space="preserve">  1.投标报价人投标时不允许选项投标，必须对本项目全部内容进行投标，否则视为缺项，不满足用户需求，为无效投标。</w:t>
      </w:r>
    </w:p>
    <w:p>
      <w:pPr>
        <w:tabs>
          <w:tab w:val="left" w:pos="1140"/>
        </w:tabs>
        <w:spacing w:line="560" w:lineRule="exact"/>
        <w:rPr>
          <w:rFonts w:asciiTheme="minorEastAsia" w:hAnsiTheme="minorEastAsia" w:eastAsiaTheme="minorEastAsia"/>
        </w:rPr>
      </w:pPr>
      <w:r>
        <w:rPr>
          <w:rFonts w:hint="eastAsia" w:asciiTheme="minorEastAsia" w:hAnsiTheme="minorEastAsia" w:eastAsiaTheme="minorEastAsia"/>
        </w:rPr>
        <w:t xml:space="preserve">  2.“★”符号标记为重要的指标参数和要求，投标响应人有一项不符合，将视为无效投标。</w:t>
      </w:r>
    </w:p>
    <w:p>
      <w:pPr>
        <w:tabs>
          <w:tab w:val="left" w:pos="1140"/>
        </w:tabs>
        <w:spacing w:line="520" w:lineRule="exact"/>
        <w:ind w:firstLine="355" w:firstLineChars="148"/>
        <w:rPr>
          <w:b/>
          <w:color w:val="000000"/>
          <w:sz w:val="30"/>
          <w:szCs w:val="30"/>
        </w:rPr>
      </w:pPr>
      <w:r>
        <w:rPr>
          <w:rFonts w:hint="eastAsia" w:asciiTheme="minorEastAsia" w:hAnsiTheme="minorEastAsia" w:eastAsiaTheme="minorEastAsia"/>
        </w:rPr>
        <w:t>★</w:t>
      </w:r>
      <w:r>
        <w:rPr>
          <w:rFonts w:hint="eastAsia"/>
          <w:b/>
          <w:color w:val="000000"/>
          <w:sz w:val="30"/>
          <w:szCs w:val="30"/>
        </w:rPr>
        <w:t>二、资质要求</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2.1在中华人民共和国境内依法注册，具有独立的法人资格，为一般纳税人，能够提供增值税专用发票，且财务状况良好</w:t>
      </w:r>
      <w:r>
        <w:rPr>
          <w:rFonts w:asciiTheme="minorEastAsia" w:hAnsiTheme="minorEastAsia" w:eastAsiaTheme="minorEastAsia"/>
          <w:color w:val="000000"/>
        </w:rPr>
        <w:t xml:space="preserve">（须提供2019或2020年度经第三方审计的财务报告），成立未满 一年须提供银行出具的资信证明 </w:t>
      </w:r>
      <w:r>
        <w:rPr>
          <w:rFonts w:hint="eastAsia" w:asciiTheme="minorEastAsia" w:hAnsiTheme="minorEastAsia" w:eastAsiaTheme="minorEastAsia"/>
          <w:color w:val="000000"/>
        </w:rPr>
        <w:t>；</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2.2投标方须信誉良好，资金和科研信用良好，未被列入中国国家铁路集团有限公司不良供应商或</w:t>
      </w:r>
      <w:r>
        <w:rPr>
          <w:rFonts w:hint="eastAsia" w:asciiTheme="minorEastAsia" w:hAnsiTheme="minorEastAsia" w:eastAsiaTheme="minorEastAsia"/>
        </w:rPr>
        <w:t>黑名单；</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2.3具备健全的科研管理制度、财务管理制度、资产管理制度和会计核算制度以及相关的独立管理机构，满足与招标文件要求相适应的研究人员、设备、试验试用条件和经费，同时符合招标文件要求的资质和相应科研业绩；</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2.4</w:t>
      </w:r>
      <w:r>
        <w:rPr>
          <w:rFonts w:asciiTheme="minorEastAsia" w:hAnsiTheme="minorEastAsia" w:eastAsiaTheme="minorEastAsia"/>
          <w:color w:val="000000"/>
        </w:rPr>
        <w:t>投标人须提供2020年10月至今任意连续三个月缴纳增值税或企业所得税的证明</w:t>
      </w:r>
      <w:r>
        <w:rPr>
          <w:rFonts w:hint="eastAsia" w:asciiTheme="minorEastAsia" w:hAnsiTheme="minorEastAsia" w:eastAsiaTheme="minorEastAsia"/>
          <w:color w:val="000000"/>
        </w:rPr>
        <w:t>；</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2.5</w:t>
      </w:r>
      <w:r>
        <w:rPr>
          <w:rFonts w:asciiTheme="minorEastAsia" w:hAnsiTheme="minorEastAsia" w:eastAsiaTheme="minorEastAsia"/>
          <w:color w:val="000000"/>
        </w:rPr>
        <w:t xml:space="preserve">投标人须提供须提供2020 年10月至今任意连续三个月的社会保障资金缴纳记录（缴纳社会保障资金的入账票据凭证复印件并加盖公章，投标人逐年缴纳社会保障资金的，须提供投标截止日前上年度缴纳社会保障资金的入账票据凭证复 印件并加盖公章），依法不需要缴纳社保的投标人，应提供相应的证明文件； </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2.6</w:t>
      </w:r>
      <w:r>
        <w:rPr>
          <w:rFonts w:asciiTheme="minorEastAsia" w:hAnsiTheme="minorEastAsia" w:eastAsiaTheme="minorEastAsia"/>
          <w:color w:val="000000"/>
        </w:rPr>
        <w:t>投标人需提供承担和完成</w:t>
      </w:r>
      <w:r>
        <w:rPr>
          <w:rFonts w:hint="eastAsia" w:asciiTheme="minorEastAsia" w:hAnsiTheme="minorEastAsia" w:eastAsiaTheme="minorEastAsia"/>
          <w:color w:val="000000"/>
        </w:rPr>
        <w:t>本研究课题</w:t>
      </w:r>
      <w:r>
        <w:rPr>
          <w:rFonts w:asciiTheme="minorEastAsia" w:hAnsiTheme="minorEastAsia" w:eastAsiaTheme="minorEastAsia"/>
          <w:color w:val="000000"/>
        </w:rPr>
        <w:t>履约能力的书面承诺函；</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2.7</w:t>
      </w:r>
      <w:r>
        <w:rPr>
          <w:rFonts w:asciiTheme="minorEastAsia" w:hAnsiTheme="minorEastAsia" w:eastAsiaTheme="minorEastAsia"/>
          <w:color w:val="000000"/>
        </w:rPr>
        <w:t xml:space="preserve">投标人需提供近三年经营活动中没有重大违法记录的书面声明； </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2.8</w:t>
      </w:r>
      <w:r>
        <w:rPr>
          <w:rFonts w:asciiTheme="minorEastAsia" w:hAnsiTheme="minorEastAsia" w:eastAsiaTheme="minorEastAsia"/>
          <w:color w:val="000000"/>
        </w:rPr>
        <w:t>投标人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的方可参加本项目的投标；（以公告发布之日至投标截止时间内查询结果为准（附网页截图），如相关失信记录已失效，投标人需提供相关证明资料）</w:t>
      </w:r>
      <w:r>
        <w:rPr>
          <w:rFonts w:hint="eastAsia" w:asciiTheme="minorEastAsia" w:hAnsiTheme="minorEastAsia" w:eastAsiaTheme="minorEastAsia"/>
          <w:color w:val="000000"/>
        </w:rPr>
        <w:t>。</w:t>
      </w:r>
    </w:p>
    <w:p>
      <w:pPr>
        <w:tabs>
          <w:tab w:val="left" w:pos="1140"/>
        </w:tabs>
        <w:spacing w:line="520" w:lineRule="exact"/>
        <w:ind w:firstLine="446" w:firstLineChars="148"/>
        <w:rPr>
          <w:b/>
          <w:color w:val="000000"/>
          <w:sz w:val="30"/>
          <w:szCs w:val="30"/>
        </w:rPr>
      </w:pPr>
      <w:r>
        <w:rPr>
          <w:rFonts w:hint="eastAsia"/>
          <w:b/>
          <w:color w:val="000000"/>
          <w:sz w:val="30"/>
          <w:szCs w:val="30"/>
        </w:rPr>
        <w:t>三</w:t>
      </w:r>
      <w:r>
        <w:rPr>
          <w:b/>
          <w:color w:val="000000"/>
          <w:sz w:val="30"/>
          <w:szCs w:val="30"/>
        </w:rPr>
        <w:t xml:space="preserve"> </w:t>
      </w:r>
      <w:r>
        <w:rPr>
          <w:rFonts w:hint="eastAsia"/>
          <w:b/>
          <w:color w:val="000000"/>
          <w:sz w:val="30"/>
          <w:szCs w:val="30"/>
        </w:rPr>
        <w:t>、科研课题研究目标</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基于运营商的手机信令数据</w:t>
      </w:r>
      <w:r>
        <w:rPr>
          <w:rFonts w:asciiTheme="minorEastAsia" w:hAnsiTheme="minorEastAsia" w:eastAsiaTheme="minorEastAsia"/>
        </w:rPr>
        <w:t xml:space="preserve"> ，通过实时采集处理与分析 ，建立铁路客运出行及站场枢纽预警监测的指标模型，分析铁路出行的活动规律 ，为铁路客运服务的运营和应急管理提供支撑。</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（1）对移动运营商信令大数据行业应用原理和规范开展研究，掌握其基本技术特性和应用方式；</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（2）对移动运营商大数据已实现的交通客流分析领域前沿应用和发展方向开展调研，重点关注民航、公路、水运等客运服务领域应用情况；</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（3）对移动运营商大数据客流分析及预测等应用实现过程中，有关数据实时采集、处理分析、模型建设、数据服务、技术经济性、数据安全等是重点因素进行评估，对技术路线的可行性进行分析；</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（4）结合铁路客运路线图规划调图需求，对基于移动运营商大数据的铁路客流预测分析及应用进行需求分析；</w:t>
      </w:r>
    </w:p>
    <w:p>
      <w:pPr>
        <w:tabs>
          <w:tab w:val="left" w:pos="1140"/>
        </w:tabs>
        <w:spacing w:line="360" w:lineRule="auto"/>
        <w:ind w:firstLine="360" w:firstLineChars="150"/>
        <w:jc w:val="both"/>
        <w:rPr>
          <w:rFonts w:asciiTheme="minorEastAsia" w:hAnsiTheme="minorEastAsia" w:eastAsiaTheme="minorEastAsia"/>
        </w:rPr>
      </w:pPr>
      <w:r>
        <w:rPr>
          <w:rFonts w:hint="eastAsia" w:asciiTheme="minorEastAsia" w:hAnsiTheme="minorEastAsia" w:eastAsiaTheme="minorEastAsia"/>
        </w:rPr>
        <w:t>（5）提出运营商大数据在铁路客运服务中的基本应用场景、技术框架和实现技术路线。</w:t>
      </w:r>
    </w:p>
    <w:p>
      <w:pPr>
        <w:tabs>
          <w:tab w:val="left" w:pos="1140"/>
        </w:tabs>
        <w:spacing w:line="520" w:lineRule="exact"/>
        <w:ind w:firstLine="355" w:firstLineChars="148"/>
        <w:rPr>
          <w:b/>
          <w:color w:val="000000"/>
          <w:sz w:val="30"/>
          <w:szCs w:val="30"/>
        </w:rPr>
      </w:pPr>
      <w:r>
        <w:rPr>
          <w:rFonts w:hint="eastAsia" w:asciiTheme="minorEastAsia" w:hAnsiTheme="minorEastAsia" w:eastAsiaTheme="minorEastAsia"/>
          <w:color w:val="000000"/>
        </w:rPr>
        <w:t>★</w:t>
      </w:r>
      <w:r>
        <w:rPr>
          <w:rFonts w:hint="eastAsia"/>
          <w:b/>
          <w:color w:val="000000"/>
          <w:sz w:val="30"/>
          <w:szCs w:val="30"/>
        </w:rPr>
        <w:t>四、主要技术指标</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在本次研究大数据分析能力水平评估的标准中，涉及准确性（</w:t>
      </w:r>
      <w:r>
        <w:rPr>
          <w:rFonts w:asciiTheme="minorEastAsia" w:hAnsiTheme="minorEastAsia" w:eastAsiaTheme="minorEastAsia"/>
          <w:color w:val="000000"/>
        </w:rPr>
        <w:t>Accuracy），精准度（Precision），召回率（Recall）和 综合指标 F1。基具体定义如下：</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准确率（</w:t>
      </w:r>
      <w:r>
        <w:rPr>
          <w:rFonts w:asciiTheme="minorEastAsia" w:hAnsiTheme="minorEastAsia" w:eastAsiaTheme="minorEastAsia"/>
          <w:color w:val="000000"/>
        </w:rPr>
        <w:t>ACC）：(TP+TN)/(TP+FP+TN+FN)</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精准率（</w:t>
      </w:r>
      <w:r>
        <w:rPr>
          <w:rFonts w:asciiTheme="minorEastAsia" w:hAnsiTheme="minorEastAsia" w:eastAsiaTheme="minorEastAsia"/>
          <w:color w:val="000000"/>
        </w:rPr>
        <w:t>PRE）：TP / (TP + FN)</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召回率（</w:t>
      </w:r>
      <w:r>
        <w:rPr>
          <w:rFonts w:asciiTheme="minorEastAsia" w:hAnsiTheme="minorEastAsia" w:eastAsiaTheme="minorEastAsia"/>
          <w:color w:val="000000"/>
        </w:rPr>
        <w:t>REC）：TP / (TP + TN)</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但是</w:t>
      </w:r>
      <w:r>
        <w:rPr>
          <w:rFonts w:asciiTheme="minorEastAsia" w:hAnsiTheme="minorEastAsia" w:eastAsiaTheme="minorEastAsia"/>
          <w:color w:val="000000"/>
        </w:rPr>
        <w:t>F1的定义相对复杂一些，定义如下：</w:t>
      </w:r>
    </w:p>
    <w:p>
      <w:pPr>
        <w:tabs>
          <w:tab w:val="left" w:pos="1140"/>
        </w:tabs>
        <w:spacing w:line="360" w:lineRule="auto"/>
        <w:ind w:firstLine="360" w:firstLineChars="150"/>
        <w:jc w:val="both"/>
        <w:rPr>
          <w:rFonts w:asciiTheme="minorEastAsia" w:hAnsiTheme="minorEastAsia" w:eastAsiaTheme="minorEastAsia"/>
          <w:color w:val="000000"/>
        </w:rPr>
      </w:pPr>
      <w:r>
        <w:rPr>
          <w:rFonts w:asciiTheme="minorEastAsia" w:hAnsiTheme="minorEastAsia" w:eastAsiaTheme="minorEastAsia"/>
          <w:color w:val="000000"/>
        </w:rPr>
        <w:t>F1 = 2 1 P R E + 1 R E C F1 = \frac2 {\frac1{PRE} + \frac1{REC}}</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示例</w:t>
      </w:r>
    </w:p>
    <w:p>
      <w:pPr>
        <w:tabs>
          <w:tab w:val="left" w:pos="1140"/>
        </w:tabs>
        <w:spacing w:line="360" w:lineRule="auto"/>
        <w:ind w:firstLine="360" w:firstLineChars="150"/>
        <w:jc w:val="both"/>
        <w:rPr>
          <w:rFonts w:asciiTheme="minorEastAsia" w:hAnsiTheme="minorEastAsia" w:eastAsiaTheme="minorEastAsia"/>
          <w:color w:val="000000"/>
        </w:rPr>
      </w:pPr>
      <w:r>
        <w:rPr>
          <w:rFonts w:asciiTheme="minorEastAsia" w:hAnsiTheme="minorEastAsia" w:eastAsiaTheme="minorEastAsia"/>
          <w:color w:val="000000"/>
        </w:rPr>
        <w:t>1、出行人口分析：实时旅客数量变化指标准确率ACC，须达到80%</w:t>
      </w:r>
    </w:p>
    <w:p>
      <w:pPr>
        <w:tabs>
          <w:tab w:val="left" w:pos="1140"/>
        </w:tabs>
        <w:spacing w:line="360" w:lineRule="auto"/>
        <w:ind w:firstLine="360" w:firstLineChars="150"/>
        <w:jc w:val="both"/>
        <w:rPr>
          <w:rFonts w:asciiTheme="minorEastAsia" w:hAnsiTheme="minorEastAsia" w:eastAsiaTheme="minorEastAsia"/>
          <w:color w:val="000000"/>
        </w:rPr>
      </w:pPr>
      <w:r>
        <w:rPr>
          <w:rFonts w:asciiTheme="minorEastAsia" w:hAnsiTheme="minorEastAsia" w:eastAsiaTheme="minorEastAsia"/>
          <w:color w:val="000000"/>
        </w:rPr>
        <w:t>2、出行人口分析：不同年龄段人口比例分析精准率PRE，须达到90%</w:t>
      </w:r>
    </w:p>
    <w:p>
      <w:pPr>
        <w:tabs>
          <w:tab w:val="left" w:pos="1140"/>
        </w:tabs>
        <w:spacing w:line="360" w:lineRule="auto"/>
        <w:ind w:firstLine="360" w:firstLineChars="150"/>
        <w:jc w:val="both"/>
        <w:rPr>
          <w:rFonts w:asciiTheme="minorEastAsia" w:hAnsiTheme="minorEastAsia" w:eastAsiaTheme="minorEastAsia"/>
          <w:color w:val="000000"/>
        </w:rPr>
      </w:pPr>
      <w:r>
        <w:rPr>
          <w:rFonts w:asciiTheme="minorEastAsia" w:hAnsiTheme="minorEastAsia" w:eastAsiaTheme="minorEastAsia"/>
          <w:color w:val="000000"/>
        </w:rPr>
        <w:t>3、节假日火车站客流量预测；节假日期间预测每日客流数据（清明、五一、端午、中秋、国庆、春节假期），预测专区率ACC，须达到70%</w:t>
      </w:r>
    </w:p>
    <w:p>
      <w:pPr>
        <w:tabs>
          <w:tab w:val="left" w:pos="1140"/>
        </w:tabs>
        <w:spacing w:line="360" w:lineRule="auto"/>
        <w:ind w:firstLine="360" w:firstLineChars="150"/>
        <w:jc w:val="both"/>
        <w:rPr>
          <w:rFonts w:asciiTheme="minorEastAsia" w:hAnsiTheme="minorEastAsia" w:eastAsiaTheme="minorEastAsia"/>
          <w:color w:val="000000"/>
        </w:rPr>
      </w:pPr>
      <w:r>
        <w:rPr>
          <w:rFonts w:asciiTheme="minorEastAsia" w:hAnsiTheme="minorEastAsia" w:eastAsiaTheme="minorEastAsia"/>
          <w:color w:val="000000"/>
        </w:rPr>
        <w:t>4、到达旅客去向分析：火车站到达旅客去向地分布（区县）准确率ACC，须达到90%</w:t>
      </w:r>
      <w:r>
        <w:rPr>
          <w:rFonts w:hint="eastAsia" w:asciiTheme="minorEastAsia" w:hAnsiTheme="minorEastAsia" w:eastAsiaTheme="minorEastAsia"/>
          <w:color w:val="000000"/>
        </w:rPr>
        <w:t>。</w:t>
      </w:r>
    </w:p>
    <w:p>
      <w:pPr>
        <w:tabs>
          <w:tab w:val="left" w:pos="1140"/>
        </w:tabs>
        <w:spacing w:line="520" w:lineRule="exact"/>
        <w:ind w:firstLine="446" w:firstLineChars="148"/>
        <w:rPr>
          <w:b/>
          <w:color w:val="000000"/>
          <w:sz w:val="30"/>
          <w:szCs w:val="30"/>
        </w:rPr>
      </w:pPr>
      <w:r>
        <w:rPr>
          <w:rFonts w:hint="eastAsia"/>
          <w:b/>
          <w:color w:val="000000"/>
          <w:sz w:val="30"/>
          <w:szCs w:val="30"/>
        </w:rPr>
        <w:t>五、结算方式</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5.1先验收，后结算付款。</w:t>
      </w:r>
    </w:p>
    <w:p>
      <w:pPr>
        <w:tabs>
          <w:tab w:val="left" w:pos="1140"/>
        </w:tabs>
        <w:spacing w:line="360" w:lineRule="auto"/>
        <w:ind w:firstLine="360" w:firstLineChars="150"/>
        <w:jc w:val="both"/>
        <w:rPr>
          <w:rFonts w:asciiTheme="minorEastAsia" w:hAnsiTheme="minorEastAsia" w:eastAsiaTheme="minorEastAsia"/>
          <w:color w:val="000000"/>
        </w:rPr>
      </w:pPr>
      <w:r>
        <w:rPr>
          <w:rFonts w:hint="eastAsia" w:asciiTheme="minorEastAsia" w:hAnsiTheme="minorEastAsia" w:eastAsiaTheme="minorEastAsia"/>
          <w:color w:val="000000"/>
        </w:rPr>
        <w:t>5.2中标成交人验收合格后开具符合国家税率要求的增值税专用发票，发票经我方验证无误后，30个工作日内结算付款。付款金额大于100万元时，因支付需提级至集团公司集中支付，支付时间顺延。首次付款95%，剩余5%为履约保证金，交付使用12个月后无质量问题或反映，在中标成交人提出书面申请后20个工作日内一次性无息付清。</w:t>
      </w:r>
    </w:p>
    <w:p>
      <w:pPr>
        <w:tabs>
          <w:tab w:val="left" w:pos="1140"/>
        </w:tabs>
        <w:spacing w:line="520" w:lineRule="exact"/>
        <w:ind w:firstLine="446" w:firstLineChars="148"/>
        <w:rPr>
          <w:b/>
          <w:color w:val="000000"/>
          <w:sz w:val="30"/>
          <w:szCs w:val="30"/>
        </w:rPr>
      </w:pPr>
      <w:r>
        <w:rPr>
          <w:rFonts w:hint="eastAsia"/>
          <w:b/>
          <w:color w:val="000000"/>
          <w:sz w:val="30"/>
          <w:szCs w:val="30"/>
        </w:rPr>
        <w:t>六、验收要求</w:t>
      </w:r>
    </w:p>
    <w:p>
      <w:pPr>
        <w:tabs>
          <w:tab w:val="left" w:pos="1860"/>
        </w:tabs>
        <w:spacing w:line="560" w:lineRule="exact"/>
        <w:ind w:firstLine="240" w:firstLineChars="100"/>
        <w:rPr>
          <w:rFonts w:asciiTheme="minorEastAsia" w:hAnsiTheme="minorEastAsia" w:eastAsiaTheme="minorEastAsia"/>
        </w:rPr>
      </w:pPr>
      <w:r>
        <w:rPr>
          <w:rFonts w:hint="eastAsia" w:asciiTheme="minorEastAsia" w:hAnsiTheme="minorEastAsia" w:eastAsiaTheme="minorEastAsia"/>
        </w:rPr>
        <w:t>按照课题的季度计划及季度目标进行验收。本次课题成果如下：</w:t>
      </w:r>
    </w:p>
    <w:p>
      <w:pPr>
        <w:tabs>
          <w:tab w:val="left" w:pos="1860"/>
        </w:tabs>
        <w:spacing w:line="560" w:lineRule="exact"/>
        <w:ind w:firstLine="240" w:firstLineChars="100"/>
        <w:rPr>
          <w:rFonts w:asciiTheme="minorEastAsia" w:hAnsiTheme="minorEastAsia" w:eastAsiaTheme="minorEastAsia"/>
          <w:color w:val="000000"/>
        </w:rPr>
      </w:pPr>
      <w:r>
        <w:rPr>
          <w:rFonts w:hint="eastAsia" w:asciiTheme="minorEastAsia" w:hAnsiTheme="minorEastAsia" w:eastAsiaTheme="minorEastAsia"/>
          <w:color w:val="000000"/>
        </w:rPr>
        <w:t>6</w:t>
      </w:r>
      <w:r>
        <w:rPr>
          <w:rFonts w:asciiTheme="minorEastAsia" w:hAnsiTheme="minorEastAsia" w:eastAsiaTheme="minorEastAsia"/>
          <w:color w:val="000000"/>
        </w:rPr>
        <w:t>.1形成《铁路客运基于移动运营商大数据分析应用研究》专题技术报告</w:t>
      </w:r>
      <w:r>
        <w:rPr>
          <w:rFonts w:hint="eastAsia" w:asciiTheme="minorEastAsia" w:hAnsiTheme="minorEastAsia" w:eastAsiaTheme="minorEastAsia"/>
          <w:color w:val="000000"/>
          <w:lang w:val="en-US" w:eastAsia="zh-CN"/>
        </w:rPr>
        <w:t>1</w:t>
      </w:r>
      <w:r>
        <w:rPr>
          <w:rFonts w:asciiTheme="minorEastAsia" w:hAnsiTheme="minorEastAsia" w:eastAsiaTheme="minorEastAsia"/>
          <w:color w:val="000000"/>
        </w:rPr>
        <w:t>份；</w:t>
      </w:r>
    </w:p>
    <w:p>
      <w:pPr>
        <w:tabs>
          <w:tab w:val="left" w:pos="1860"/>
        </w:tabs>
        <w:spacing w:line="560" w:lineRule="exact"/>
        <w:ind w:firstLine="240" w:firstLineChars="100"/>
        <w:rPr>
          <w:rFonts w:asciiTheme="minorEastAsia" w:hAnsiTheme="minorEastAsia" w:eastAsiaTheme="minorEastAsia"/>
        </w:rPr>
      </w:pPr>
      <w:r>
        <w:rPr>
          <w:rFonts w:hint="eastAsia" w:asciiTheme="minorEastAsia" w:hAnsiTheme="minorEastAsia" w:eastAsiaTheme="minorEastAsia"/>
          <w:color w:val="000000"/>
        </w:rPr>
        <w:t>6</w:t>
      </w:r>
      <w:r>
        <w:rPr>
          <w:rFonts w:asciiTheme="minorEastAsia" w:hAnsiTheme="minorEastAsia" w:eastAsiaTheme="minorEastAsia"/>
          <w:color w:val="000000"/>
        </w:rPr>
        <w:t>.2在国家核心学术期刊发表1—2篇相关研究论文；</w:t>
      </w:r>
      <w:r>
        <w:rPr>
          <w:rFonts w:hint="eastAsia" w:asciiTheme="minorEastAsia" w:hAnsiTheme="minorEastAsia" w:eastAsiaTheme="minorEastAsia"/>
        </w:rPr>
        <w:t>。</w:t>
      </w:r>
    </w:p>
    <w:p>
      <w:pPr>
        <w:tabs>
          <w:tab w:val="left" w:pos="1140"/>
        </w:tabs>
        <w:spacing w:line="520" w:lineRule="exact"/>
        <w:ind w:firstLine="446" w:firstLineChars="148"/>
        <w:rPr>
          <w:b/>
          <w:color w:val="000000"/>
          <w:sz w:val="30"/>
          <w:szCs w:val="30"/>
        </w:rPr>
      </w:pPr>
      <w:r>
        <w:rPr>
          <w:rFonts w:hint="eastAsia"/>
          <w:b/>
          <w:color w:val="000000"/>
          <w:sz w:val="30"/>
          <w:szCs w:val="30"/>
        </w:rPr>
        <w:t>七、售后服务要求</w:t>
      </w:r>
    </w:p>
    <w:p>
      <w:pPr>
        <w:tabs>
          <w:tab w:val="left" w:pos="1140"/>
        </w:tabs>
        <w:spacing w:line="520" w:lineRule="exact"/>
        <w:ind w:firstLine="355" w:firstLineChars="148"/>
        <w:rPr>
          <w:rFonts w:asciiTheme="minorEastAsia" w:hAnsiTheme="minorEastAsia" w:eastAsiaTheme="minorEastAsia"/>
        </w:rPr>
      </w:pPr>
      <w:r>
        <w:rPr>
          <w:rFonts w:hint="eastAsia" w:asciiTheme="minorEastAsia" w:hAnsiTheme="minorEastAsia" w:eastAsiaTheme="minorEastAsia"/>
        </w:rPr>
        <w:t>7.1 中标人须提供为期一年的技术交流和咨询服务。</w:t>
      </w:r>
    </w:p>
    <w:p>
      <w:pPr>
        <w:tabs>
          <w:tab w:val="left" w:pos="1140"/>
        </w:tabs>
        <w:spacing w:line="520" w:lineRule="exact"/>
        <w:ind w:firstLine="355" w:firstLineChars="148"/>
        <w:rPr>
          <w:rFonts w:asciiTheme="minorEastAsia" w:hAnsiTheme="minorEastAsia" w:eastAsiaTheme="minorEastAsia"/>
        </w:rPr>
      </w:pPr>
      <w:r>
        <w:rPr>
          <w:rFonts w:hint="eastAsia" w:asciiTheme="minorEastAsia" w:hAnsiTheme="minorEastAsia" w:eastAsiaTheme="minorEastAsia"/>
        </w:rPr>
        <w:t>7.2 成交中标人须明确售后服务具体负责人和联系电话。</w:t>
      </w:r>
    </w:p>
    <w:p>
      <w:pPr>
        <w:tabs>
          <w:tab w:val="left" w:pos="1140"/>
        </w:tabs>
        <w:spacing w:line="520" w:lineRule="exact"/>
        <w:ind w:firstLine="355" w:firstLineChars="148"/>
        <w:rPr>
          <w:rFonts w:asciiTheme="minorEastAsia" w:hAnsiTheme="minorEastAsia" w:eastAsiaTheme="minorEastAsia"/>
        </w:rPr>
      </w:pPr>
    </w:p>
    <w:sectPr>
      <w:footerReference r:id="rId3" w:type="default"/>
      <w:pgSz w:w="11906" w:h="16838"/>
      <w:pgMar w:top="1440" w:right="924"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7470" w:firstLineChars="4150"/>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4</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4</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B4"/>
    <w:rsid w:val="00017803"/>
    <w:rsid w:val="00034E7C"/>
    <w:rsid w:val="0006123C"/>
    <w:rsid w:val="000937A5"/>
    <w:rsid w:val="0010164D"/>
    <w:rsid w:val="001171E5"/>
    <w:rsid w:val="00120721"/>
    <w:rsid w:val="00226702"/>
    <w:rsid w:val="00227595"/>
    <w:rsid w:val="002703EE"/>
    <w:rsid w:val="002707B3"/>
    <w:rsid w:val="002B5D03"/>
    <w:rsid w:val="00331A77"/>
    <w:rsid w:val="003F7221"/>
    <w:rsid w:val="00422548"/>
    <w:rsid w:val="00430E6E"/>
    <w:rsid w:val="004915B4"/>
    <w:rsid w:val="0050077E"/>
    <w:rsid w:val="00642F36"/>
    <w:rsid w:val="00770C8C"/>
    <w:rsid w:val="00834A01"/>
    <w:rsid w:val="00837EA0"/>
    <w:rsid w:val="00905848"/>
    <w:rsid w:val="00A33B1D"/>
    <w:rsid w:val="00A36D92"/>
    <w:rsid w:val="00A405D1"/>
    <w:rsid w:val="00AC7699"/>
    <w:rsid w:val="00B020D5"/>
    <w:rsid w:val="00B5794A"/>
    <w:rsid w:val="00BA2ADC"/>
    <w:rsid w:val="00BA4C49"/>
    <w:rsid w:val="00BD2696"/>
    <w:rsid w:val="00BE2B2E"/>
    <w:rsid w:val="00BE3FF9"/>
    <w:rsid w:val="00CB77C3"/>
    <w:rsid w:val="00D41D68"/>
    <w:rsid w:val="00E06B35"/>
    <w:rsid w:val="00E31E40"/>
    <w:rsid w:val="00EE1719"/>
    <w:rsid w:val="00EF3D5F"/>
    <w:rsid w:val="00F21350"/>
    <w:rsid w:val="00F50226"/>
    <w:rsid w:val="00F51161"/>
    <w:rsid w:val="00FD63C6"/>
    <w:rsid w:val="0DA23982"/>
    <w:rsid w:val="194F3B3D"/>
    <w:rsid w:val="28B954FA"/>
    <w:rsid w:val="48561158"/>
    <w:rsid w:val="54842197"/>
    <w:rsid w:val="74EC5E75"/>
    <w:rsid w:val="76AB5897"/>
    <w:rsid w:val="79037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0"/>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semiHidden/>
    <w:uiPriority w:val="99"/>
    <w:rPr>
      <w:sz w:val="18"/>
      <w:szCs w:val="18"/>
    </w:rPr>
  </w:style>
  <w:style w:type="character" w:customStyle="1" w:styleId="9">
    <w:name w:val="批注框文本 字符"/>
    <w:basedOn w:val="6"/>
    <w:link w:val="2"/>
    <w:semiHidden/>
    <w:qFormat/>
    <w:uiPriority w:val="99"/>
    <w:rPr>
      <w:rFonts w:ascii="宋体" w:hAnsi="宋体" w:eastAsia="宋体" w:cs="宋体"/>
      <w:kern w:val="0"/>
      <w:sz w:val="18"/>
      <w:szCs w:val="18"/>
    </w:rPr>
  </w:style>
  <w:style w:type="paragraph" w:styleId="10">
    <w:name w:val="List Paragraph"/>
    <w:basedOn w:val="1"/>
    <w:unhideWhenUsed/>
    <w:qFormat/>
    <w:uiPriority w:val="99"/>
    <w:pPr>
      <w:widowControl w:val="0"/>
      <w:ind w:firstLine="420" w:firstLineChars="200"/>
      <w:jc w:val="both"/>
    </w:pPr>
    <w:rPr>
      <w:rFonts w:ascii="Times New Roman" w:hAnsi="Times New Roman" w:cs="Times New Roman"/>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EA3E7-8DE4-49FF-A33F-E75EF2807E8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366</Words>
  <Characters>2089</Characters>
  <Lines>17</Lines>
  <Paragraphs>4</Paragraphs>
  <TotalTime>1</TotalTime>
  <ScaleCrop>false</ScaleCrop>
  <LinksUpToDate>false</LinksUpToDate>
  <CharactersWithSpaces>2451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2021-08-17T11:36:00Z</dcterms:created>
  <dc:creator>微软用户</dc:creator>
  <cp:lastModifiedBy>魏嘉</cp:lastModifiedBy>
  <cp:lastPrinted>2020-11-26T00:35:00Z</cp:lastPrinted>
  <dcterms:modified xsi:type="dcterms:W3CDTF">2021-08-18T03:03:57Z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9CBE04D202EB4250B83C4920744F3E5A</vt:lpwstr>
  </property>
</Properties>
</file>