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CA3" w:rsidRPr="00C5478C" w:rsidRDefault="00DD2CA3" w:rsidP="00DD2CA3">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DD2CA3" w:rsidRDefault="002C44C1" w:rsidP="00DD2CA3">
      <w:pPr>
        <w:jc w:val="center"/>
        <w:rPr>
          <w:rFonts w:ascii="方正小标宋简体" w:eastAsia="方正小标宋简体" w:hAnsi="宋体"/>
          <w:color w:val="000000"/>
          <w:sz w:val="44"/>
          <w:szCs w:val="44"/>
        </w:rPr>
      </w:pPr>
      <w:r>
        <w:rPr>
          <w:rFonts w:ascii="方正小标宋简体" w:eastAsia="方正小标宋简体" w:hAnsi="Calibri" w:cs="Times New Roman" w:hint="eastAsia"/>
          <w:spacing w:val="-4"/>
          <w:sz w:val="44"/>
          <w:szCs w:val="44"/>
        </w:rPr>
        <w:t>数字化</w:t>
      </w:r>
      <w:r w:rsidRPr="00E90451">
        <w:rPr>
          <w:rFonts w:ascii="方正小标宋简体" w:eastAsia="方正小标宋简体" w:hAnsi="Calibri" w:cs="Times New Roman" w:hint="eastAsia"/>
          <w:spacing w:val="-4"/>
          <w:sz w:val="44"/>
          <w:szCs w:val="44"/>
        </w:rPr>
        <w:t>病案存储器</w:t>
      </w:r>
      <w:r w:rsidRPr="004249E7">
        <w:rPr>
          <w:rFonts w:ascii="方正小标宋简体" w:eastAsia="方正小标宋简体" w:hAnsi="Calibri" w:cs="Times New Roman" w:hint="eastAsia"/>
          <w:spacing w:val="-4"/>
          <w:sz w:val="44"/>
          <w:szCs w:val="44"/>
        </w:rPr>
        <w:t>项目</w:t>
      </w:r>
      <w:r w:rsidR="00DD2CA3">
        <w:rPr>
          <w:rFonts w:ascii="方正小标宋简体" w:eastAsia="方正小标宋简体" w:hAnsi="宋体" w:hint="eastAsia"/>
          <w:color w:val="000000"/>
          <w:sz w:val="44"/>
          <w:szCs w:val="44"/>
        </w:rPr>
        <w:t>采购需求</w:t>
      </w:r>
    </w:p>
    <w:p w:rsidR="00DD2CA3" w:rsidRDefault="00DD2CA3" w:rsidP="00DD2CA3">
      <w:pPr>
        <w:spacing w:line="579" w:lineRule="exact"/>
        <w:ind w:firstLine="630"/>
        <w:rPr>
          <w:rFonts w:ascii="黑体" w:eastAsia="黑体" w:hAnsi="黑体"/>
          <w:sz w:val="32"/>
          <w:szCs w:val="32"/>
        </w:rPr>
      </w:pPr>
      <w:r>
        <w:rPr>
          <w:rFonts w:ascii="黑体" w:eastAsia="黑体" w:hAnsi="黑体" w:hint="eastAsia"/>
          <w:sz w:val="32"/>
          <w:szCs w:val="32"/>
        </w:rPr>
        <w:t>一、采购需求基本情况</w:t>
      </w:r>
    </w:p>
    <w:p w:rsidR="006176BF" w:rsidRPr="006176BF" w:rsidRDefault="006176BF" w:rsidP="006176BF">
      <w:pPr>
        <w:spacing w:line="579" w:lineRule="exact"/>
        <w:ind w:firstLineChars="200" w:firstLine="640"/>
        <w:rPr>
          <w:rFonts w:ascii="仿宋_GB2312" w:eastAsia="宋体" w:hAnsi="仿宋" w:cs="Times New Roman"/>
          <w:color w:val="000000"/>
          <w:sz w:val="32"/>
          <w:szCs w:val="32"/>
        </w:rPr>
      </w:pPr>
      <w:r>
        <w:rPr>
          <w:rFonts w:ascii="仿宋" w:eastAsia="仿宋" w:hAnsi="仿宋" w:hint="eastAsia"/>
          <w:sz w:val="32"/>
          <w:szCs w:val="32"/>
        </w:rPr>
        <w:t>医院现需采购</w:t>
      </w:r>
      <w:r w:rsidRPr="006176BF">
        <w:rPr>
          <w:rFonts w:ascii="仿宋" w:eastAsia="仿宋" w:hAnsi="仿宋" w:cs="Times New Roman" w:hint="eastAsia"/>
          <w:sz w:val="32"/>
          <w:szCs w:val="32"/>
        </w:rPr>
        <w:t>一台存储器，对数字化病案存储系统</w:t>
      </w:r>
      <w:r w:rsidRPr="006176BF">
        <w:rPr>
          <w:rFonts w:ascii="仿宋" w:eastAsia="仿宋" w:hAnsi="仿宋" w:cs="Times New Roman"/>
          <w:sz w:val="32"/>
          <w:szCs w:val="32"/>
        </w:rPr>
        <w:t>进行</w:t>
      </w:r>
      <w:r w:rsidRPr="006176BF">
        <w:rPr>
          <w:rFonts w:ascii="仿宋" w:eastAsia="仿宋" w:hAnsi="仿宋" w:cs="Times New Roman" w:hint="eastAsia"/>
          <w:sz w:val="32"/>
          <w:szCs w:val="32"/>
        </w:rPr>
        <w:t>扩容</w:t>
      </w:r>
      <w:r w:rsidRPr="006176BF">
        <w:rPr>
          <w:rFonts w:ascii="仿宋" w:eastAsia="仿宋" w:hAnsi="仿宋" w:cs="Times New Roman"/>
          <w:sz w:val="32"/>
          <w:szCs w:val="32"/>
        </w:rPr>
        <w:t>，</w:t>
      </w:r>
      <w:r w:rsidRPr="006176BF">
        <w:rPr>
          <w:rFonts w:ascii="仿宋" w:eastAsia="仿宋" w:hAnsi="仿宋" w:cs="Times New Roman" w:hint="eastAsia"/>
          <w:sz w:val="32"/>
          <w:szCs w:val="32"/>
        </w:rPr>
        <w:t>提高</w:t>
      </w:r>
      <w:r w:rsidRPr="006176BF">
        <w:rPr>
          <w:rFonts w:ascii="仿宋" w:eastAsia="仿宋" w:hAnsi="仿宋" w:cs="Times New Roman"/>
          <w:sz w:val="32"/>
          <w:szCs w:val="32"/>
        </w:rPr>
        <w:t>业务稳定性。</w:t>
      </w:r>
      <w:r w:rsidRPr="006176BF">
        <w:rPr>
          <w:rFonts w:ascii="仿宋_GB2312" w:eastAsia="仿宋_GB2312" w:hAnsi="仿宋" w:hint="eastAsia"/>
          <w:color w:val="000000"/>
          <w:sz w:val="32"/>
          <w:szCs w:val="32"/>
        </w:rPr>
        <w:t>该项目</w:t>
      </w:r>
      <w:r w:rsidRPr="006176BF">
        <w:rPr>
          <w:rFonts w:ascii="仿宋" w:eastAsia="仿宋" w:hAnsi="仿宋" w:cs="Times New Roman" w:hint="eastAsia"/>
          <w:color w:val="000000"/>
          <w:sz w:val="32"/>
          <w:szCs w:val="32"/>
        </w:rPr>
        <w:t>预算金额</w:t>
      </w:r>
      <w:r w:rsidRPr="006176BF">
        <w:rPr>
          <w:rFonts w:ascii="仿宋" w:eastAsia="仿宋" w:hAnsi="仿宋" w:cs="Times New Roman"/>
          <w:color w:val="000000"/>
          <w:sz w:val="32"/>
          <w:szCs w:val="32"/>
        </w:rPr>
        <w:t>30</w:t>
      </w:r>
      <w:r w:rsidRPr="006176BF">
        <w:rPr>
          <w:rFonts w:ascii="仿宋" w:eastAsia="仿宋" w:hAnsi="仿宋" w:cs="Times New Roman" w:hint="eastAsia"/>
          <w:color w:val="000000"/>
          <w:sz w:val="32"/>
          <w:szCs w:val="32"/>
        </w:rPr>
        <w:t>万元。</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、货款及运杂费结算方式</w:t>
      </w:r>
    </w:p>
    <w:p w:rsidR="00DD2CA3" w:rsidRDefault="005066C1" w:rsidP="006B144A">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成交方成交</w:t>
      </w:r>
      <w:r w:rsidR="00DD2CA3">
        <w:rPr>
          <w:rFonts w:ascii="仿宋_GB2312" w:eastAsia="仿宋_GB2312" w:hAnsi="宋体" w:hint="eastAsia"/>
          <w:color w:val="000000"/>
          <w:sz w:val="32"/>
          <w:szCs w:val="32"/>
        </w:rPr>
        <w:t>价即为合同价，合同价包含货款、利润、税金、售后服务费及相应的不可预测风险等一切费用。本项目不付预付款，待验收合格后一次性支付合同价的95%，剩余5%</w:t>
      </w:r>
      <w:r w:rsidR="009C0C4B">
        <w:rPr>
          <w:rFonts w:ascii="仿宋_GB2312" w:eastAsia="仿宋_GB2312" w:hAnsi="宋体" w:hint="eastAsia"/>
          <w:color w:val="000000"/>
          <w:sz w:val="32"/>
          <w:szCs w:val="32"/>
        </w:rPr>
        <w:t>作为质量保证金，待质保期满后一次性无息退还</w:t>
      </w:r>
      <w:r w:rsidR="00DD2CA3">
        <w:rPr>
          <w:rFonts w:ascii="仿宋_GB2312" w:eastAsia="仿宋_GB2312" w:hAnsi="宋体" w:hint="eastAsia"/>
          <w:color w:val="000000"/>
          <w:sz w:val="32"/>
          <w:szCs w:val="32"/>
        </w:rPr>
        <w:t>。</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、采购方式及分包</w:t>
      </w:r>
    </w:p>
    <w:p w:rsidR="00DD2CA3"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询价，不分包。</w:t>
      </w:r>
    </w:p>
    <w:p w:rsidR="00DD2CA3" w:rsidRDefault="00DD2CA3" w:rsidP="00DD2CA3">
      <w:pPr>
        <w:spacing w:line="579"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交货期限</w:t>
      </w:r>
      <w:r>
        <w:rPr>
          <w:rFonts w:ascii="黑体" w:eastAsia="黑体" w:hAnsi="黑体"/>
          <w:sz w:val="32"/>
          <w:szCs w:val="32"/>
        </w:rPr>
        <w:t>及交货地点</w:t>
      </w:r>
    </w:p>
    <w:p w:rsidR="00DD2CA3" w:rsidRPr="00A4180B"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1.交货期限：</w:t>
      </w:r>
      <w:r w:rsidR="00A4180B" w:rsidRPr="00A4180B">
        <w:rPr>
          <w:rFonts w:ascii="仿宋_GB2312" w:eastAsia="仿宋_GB2312" w:hAnsi="宋体" w:cs="Times New Roman" w:hint="eastAsia"/>
          <w:color w:val="000000"/>
          <w:sz w:val="32"/>
          <w:szCs w:val="32"/>
        </w:rPr>
        <w:t>自合同签订之日起</w:t>
      </w:r>
      <w:r w:rsidR="00A4180B" w:rsidRPr="00A4180B">
        <w:rPr>
          <w:rFonts w:ascii="仿宋_GB2312" w:eastAsia="仿宋_GB2312" w:hAnsi="宋体" w:cs="Times New Roman"/>
          <w:color w:val="000000"/>
          <w:sz w:val="32"/>
          <w:szCs w:val="32"/>
        </w:rPr>
        <w:t>45</w:t>
      </w:r>
      <w:r w:rsidR="00A4180B" w:rsidRPr="00A4180B">
        <w:rPr>
          <w:rFonts w:ascii="仿宋_GB2312" w:eastAsia="仿宋_GB2312" w:hAnsi="宋体" w:cs="Times New Roman" w:hint="eastAsia"/>
          <w:color w:val="000000"/>
          <w:sz w:val="32"/>
          <w:szCs w:val="32"/>
        </w:rPr>
        <w:t>日内完成供货、安装。</w:t>
      </w:r>
    </w:p>
    <w:p w:rsidR="00DD2CA3" w:rsidRDefault="00DD2CA3" w:rsidP="00DD2CA3">
      <w:pPr>
        <w:spacing w:line="579"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2.交货地点：甘肃兰州。</w:t>
      </w:r>
    </w:p>
    <w:p w:rsidR="001801F1" w:rsidRDefault="001801F1" w:rsidP="00DD2CA3">
      <w:pPr>
        <w:spacing w:line="579" w:lineRule="exact"/>
        <w:ind w:firstLineChars="200" w:firstLine="640"/>
        <w:rPr>
          <w:rFonts w:ascii="黑体" w:eastAsia="黑体" w:hAnsi="黑体"/>
          <w:color w:val="000000"/>
          <w:sz w:val="32"/>
          <w:szCs w:val="32"/>
        </w:rPr>
      </w:pPr>
      <w:r w:rsidRPr="001801F1">
        <w:rPr>
          <w:rFonts w:ascii="黑体" w:eastAsia="黑体" w:hAnsi="黑体" w:hint="eastAsia"/>
          <w:color w:val="000000"/>
          <w:sz w:val="32"/>
          <w:szCs w:val="32"/>
        </w:rPr>
        <w:t>五、售后服务</w:t>
      </w:r>
    </w:p>
    <w:p w:rsidR="001801F1" w:rsidRPr="001801F1" w:rsidRDefault="001801F1" w:rsidP="001801F1">
      <w:pPr>
        <w:numPr>
          <w:ilvl w:val="0"/>
          <w:numId w:val="3"/>
        </w:numPr>
        <w:tabs>
          <w:tab w:val="left" w:pos="840"/>
          <w:tab w:val="left" w:pos="1080"/>
        </w:tabs>
        <w:autoSpaceDE w:val="0"/>
        <w:autoSpaceDN w:val="0"/>
        <w:adjustRightInd w:val="0"/>
        <w:spacing w:line="500" w:lineRule="exact"/>
        <w:ind w:left="0" w:firstLineChars="200" w:firstLine="640"/>
        <w:outlineLvl w:val="3"/>
        <w:rPr>
          <w:rFonts w:ascii="仿宋_GB2312" w:eastAsia="仿宋_GB2312" w:hAnsi="宋体" w:cs="宋体"/>
          <w:color w:val="000000"/>
          <w:sz w:val="32"/>
          <w:szCs w:val="32"/>
          <w:lang w:val="zh-CN"/>
        </w:rPr>
      </w:pPr>
      <w:r w:rsidRPr="001801F1">
        <w:rPr>
          <w:rFonts w:ascii="仿宋_GB2312" w:eastAsia="仿宋_GB2312" w:hAnsi="宋体" w:cs="宋体" w:hint="eastAsia"/>
          <w:color w:val="000000"/>
          <w:sz w:val="32"/>
          <w:szCs w:val="32"/>
          <w:lang w:val="zh-CN"/>
        </w:rPr>
        <w:t>质保期及售后服务时间：自验收</w:t>
      </w:r>
      <w:r w:rsidR="00735B0F">
        <w:rPr>
          <w:rFonts w:ascii="仿宋_GB2312" w:eastAsia="仿宋_GB2312" w:hAnsi="宋体" w:cs="宋体" w:hint="eastAsia"/>
          <w:color w:val="000000"/>
          <w:sz w:val="32"/>
          <w:szCs w:val="32"/>
          <w:lang w:val="zh-CN"/>
        </w:rPr>
        <w:t>合格</w:t>
      </w:r>
      <w:r w:rsidRPr="001801F1">
        <w:rPr>
          <w:rFonts w:ascii="仿宋_GB2312" w:eastAsia="仿宋_GB2312" w:hAnsi="宋体" w:cs="宋体" w:hint="eastAsia"/>
          <w:color w:val="000000"/>
          <w:sz w:val="32"/>
          <w:szCs w:val="32"/>
          <w:lang w:val="zh-CN"/>
        </w:rPr>
        <w:t>之</w:t>
      </w:r>
      <w:r w:rsidR="00735B0F">
        <w:rPr>
          <w:rFonts w:ascii="仿宋_GB2312" w:eastAsia="仿宋_GB2312" w:hAnsi="宋体" w:cs="宋体" w:hint="eastAsia"/>
          <w:color w:val="000000"/>
          <w:sz w:val="32"/>
          <w:szCs w:val="32"/>
          <w:lang w:val="zh-CN"/>
        </w:rPr>
        <w:t>日</w:t>
      </w:r>
      <w:r w:rsidRPr="001801F1">
        <w:rPr>
          <w:rFonts w:ascii="仿宋_GB2312" w:eastAsia="仿宋_GB2312" w:hAnsi="宋体" w:cs="宋体" w:hint="eastAsia"/>
          <w:color w:val="000000"/>
          <w:sz w:val="32"/>
          <w:szCs w:val="32"/>
          <w:lang w:val="zh-CN"/>
        </w:rPr>
        <w:t>起3年</w:t>
      </w:r>
      <w:r w:rsidR="00735B0F">
        <w:rPr>
          <w:rFonts w:ascii="仿宋_GB2312" w:eastAsia="仿宋_GB2312" w:hAnsi="宋体" w:cs="宋体" w:hint="eastAsia"/>
          <w:color w:val="000000"/>
          <w:sz w:val="32"/>
          <w:szCs w:val="32"/>
          <w:lang w:val="zh-CN"/>
        </w:rPr>
        <w:t>质保</w:t>
      </w:r>
      <w:r w:rsidRPr="001801F1">
        <w:rPr>
          <w:rFonts w:ascii="仿宋_GB2312" w:eastAsia="仿宋_GB2312" w:hAnsi="宋体" w:cs="宋体" w:hint="eastAsia"/>
          <w:color w:val="000000"/>
          <w:sz w:val="32"/>
          <w:szCs w:val="32"/>
          <w:lang w:val="zh-CN"/>
        </w:rPr>
        <w:t>，且所涉及硬件均需提供3年原厂质保服务，含7*24小时标准服务。</w:t>
      </w:r>
    </w:p>
    <w:p w:rsidR="001801F1" w:rsidRPr="001801F1" w:rsidRDefault="001801F1" w:rsidP="001801F1">
      <w:pPr>
        <w:numPr>
          <w:ilvl w:val="0"/>
          <w:numId w:val="3"/>
        </w:numPr>
        <w:tabs>
          <w:tab w:val="left" w:pos="840"/>
          <w:tab w:val="left" w:pos="1080"/>
        </w:tabs>
        <w:autoSpaceDE w:val="0"/>
        <w:autoSpaceDN w:val="0"/>
        <w:adjustRightInd w:val="0"/>
        <w:spacing w:line="500" w:lineRule="exact"/>
        <w:ind w:left="0" w:firstLineChars="200" w:firstLine="640"/>
        <w:outlineLvl w:val="3"/>
        <w:rPr>
          <w:rFonts w:ascii="仿宋_GB2312" w:eastAsia="仿宋_GB2312" w:hAnsi="宋体" w:cs="宋体"/>
          <w:color w:val="000000"/>
          <w:sz w:val="32"/>
          <w:szCs w:val="32"/>
          <w:lang w:val="zh-CN"/>
        </w:rPr>
      </w:pPr>
      <w:r w:rsidRPr="001801F1">
        <w:rPr>
          <w:rFonts w:ascii="仿宋_GB2312" w:eastAsia="仿宋_GB2312" w:hAnsi="宋体" w:cs="宋体" w:hint="eastAsia"/>
          <w:color w:val="000000"/>
          <w:sz w:val="32"/>
          <w:szCs w:val="32"/>
          <w:lang w:val="zh-CN"/>
        </w:rPr>
        <w:t>投标人或产品制造商</w:t>
      </w:r>
      <w:r w:rsidRPr="001801F1">
        <w:rPr>
          <w:rFonts w:ascii="仿宋_GB2312" w:eastAsia="仿宋_GB2312" w:hint="eastAsia"/>
          <w:sz w:val="32"/>
          <w:szCs w:val="32"/>
        </w:rPr>
        <w:t>在当地应有</w:t>
      </w:r>
      <w:r w:rsidRPr="001801F1">
        <w:rPr>
          <w:rFonts w:ascii="仿宋_GB2312" w:eastAsia="仿宋_GB2312" w:hAnsi="宋体" w:cs="宋体" w:hint="eastAsia"/>
          <w:color w:val="000000"/>
          <w:sz w:val="32"/>
          <w:szCs w:val="32"/>
          <w:lang w:val="zh-CN"/>
        </w:rPr>
        <w:t>长期稳定的服务机构</w:t>
      </w:r>
      <w:r w:rsidRPr="001801F1">
        <w:rPr>
          <w:rFonts w:ascii="仿宋_GB2312" w:eastAsia="仿宋_GB2312" w:hint="eastAsia"/>
          <w:sz w:val="32"/>
          <w:szCs w:val="32"/>
        </w:rPr>
        <w:t>，能够</w:t>
      </w:r>
      <w:r w:rsidRPr="001801F1">
        <w:rPr>
          <w:rFonts w:ascii="仿宋_GB2312" w:eastAsia="仿宋_GB2312" w:hAnsi="宋体" w:cs="宋体" w:hint="eastAsia"/>
          <w:color w:val="000000"/>
          <w:sz w:val="32"/>
          <w:szCs w:val="32"/>
          <w:lang w:val="zh-CN"/>
        </w:rPr>
        <w:t>提供与投标人或产品制造商相关服务网点营业执照或租赁合同或合作协议的相关证明材料。</w:t>
      </w:r>
      <w:r w:rsidRPr="001801F1">
        <w:rPr>
          <w:rFonts w:ascii="仿宋_GB2312" w:eastAsia="仿宋_GB2312" w:hint="eastAsia"/>
          <w:sz w:val="32"/>
          <w:szCs w:val="32"/>
        </w:rPr>
        <w:t>质保期内应保证7x24小时故障响应，1小时抵达现场，应做到随时全程跟踪故障的响应、处理和解决。要求原厂工程师进行项目实施，</w:t>
      </w:r>
      <w:r w:rsidRPr="001801F1">
        <w:rPr>
          <w:rFonts w:ascii="仿宋_GB2312" w:eastAsia="仿宋_GB2312" w:hint="eastAsia"/>
          <w:sz w:val="32"/>
          <w:szCs w:val="32"/>
        </w:rPr>
        <w:lastRenderedPageBreak/>
        <w:t>并提供相关证明材料。</w:t>
      </w:r>
    </w:p>
    <w:p w:rsidR="001801F1" w:rsidRPr="001801F1" w:rsidRDefault="001801F1" w:rsidP="001801F1">
      <w:pPr>
        <w:numPr>
          <w:ilvl w:val="0"/>
          <w:numId w:val="3"/>
        </w:numPr>
        <w:tabs>
          <w:tab w:val="left" w:pos="840"/>
          <w:tab w:val="left" w:pos="1080"/>
        </w:tabs>
        <w:autoSpaceDE w:val="0"/>
        <w:autoSpaceDN w:val="0"/>
        <w:adjustRightInd w:val="0"/>
        <w:spacing w:line="500" w:lineRule="exact"/>
        <w:ind w:left="0" w:firstLineChars="200" w:firstLine="640"/>
        <w:outlineLvl w:val="3"/>
        <w:rPr>
          <w:rFonts w:ascii="仿宋_GB2312" w:eastAsia="仿宋_GB2312" w:hAnsi="宋体" w:cs="宋体"/>
          <w:color w:val="000000"/>
          <w:sz w:val="32"/>
          <w:szCs w:val="32"/>
          <w:lang w:val="zh-CN"/>
        </w:rPr>
      </w:pPr>
      <w:r w:rsidRPr="001801F1">
        <w:rPr>
          <w:rFonts w:ascii="仿宋_GB2312" w:eastAsia="仿宋_GB2312" w:hAnsi="宋体" w:cs="宋体" w:hint="eastAsia"/>
          <w:color w:val="000000"/>
          <w:sz w:val="32"/>
          <w:szCs w:val="32"/>
          <w:lang w:val="zh-CN"/>
        </w:rPr>
        <w:t>投标人对提供的货物在质保期内，因产品质量而导致的缺陷，必须免费提供维修、更换等服务。</w:t>
      </w:r>
    </w:p>
    <w:p w:rsidR="001801F1" w:rsidRPr="001801F1" w:rsidRDefault="001801F1" w:rsidP="001801F1">
      <w:pPr>
        <w:numPr>
          <w:ilvl w:val="0"/>
          <w:numId w:val="3"/>
        </w:numPr>
        <w:tabs>
          <w:tab w:val="left" w:pos="840"/>
          <w:tab w:val="left" w:pos="1080"/>
        </w:tabs>
        <w:autoSpaceDE w:val="0"/>
        <w:autoSpaceDN w:val="0"/>
        <w:adjustRightInd w:val="0"/>
        <w:spacing w:line="500" w:lineRule="exact"/>
        <w:ind w:left="0" w:firstLineChars="200" w:firstLine="640"/>
        <w:outlineLvl w:val="3"/>
        <w:rPr>
          <w:rFonts w:ascii="仿宋_GB2312" w:eastAsia="仿宋_GB2312" w:hAnsi="宋体" w:cs="宋体"/>
          <w:color w:val="000000"/>
          <w:sz w:val="32"/>
          <w:szCs w:val="32"/>
          <w:lang w:val="zh-CN"/>
        </w:rPr>
      </w:pPr>
      <w:r w:rsidRPr="001801F1">
        <w:rPr>
          <w:rFonts w:ascii="仿宋_GB2312" w:eastAsia="仿宋_GB2312" w:hAnsi="宋体" w:cs="宋体" w:hint="eastAsia"/>
          <w:color w:val="000000"/>
          <w:sz w:val="32"/>
          <w:szCs w:val="32"/>
          <w:lang w:val="zh-CN"/>
        </w:rPr>
        <w:t>投标人须在“三包”范围内无偿提供该货物的技术支持。</w:t>
      </w:r>
    </w:p>
    <w:p w:rsidR="001801F1" w:rsidRPr="001801F1" w:rsidRDefault="001801F1" w:rsidP="001801F1">
      <w:pPr>
        <w:numPr>
          <w:ilvl w:val="0"/>
          <w:numId w:val="3"/>
        </w:numPr>
        <w:tabs>
          <w:tab w:val="left" w:pos="840"/>
          <w:tab w:val="left" w:pos="1080"/>
        </w:tabs>
        <w:autoSpaceDE w:val="0"/>
        <w:autoSpaceDN w:val="0"/>
        <w:adjustRightInd w:val="0"/>
        <w:spacing w:line="500" w:lineRule="exact"/>
        <w:ind w:left="0" w:firstLineChars="200" w:firstLine="640"/>
        <w:outlineLvl w:val="3"/>
        <w:rPr>
          <w:rFonts w:ascii="仿宋_GB2312" w:eastAsia="仿宋_GB2312" w:hAnsi="宋体" w:cs="宋体"/>
          <w:color w:val="000000"/>
          <w:sz w:val="32"/>
          <w:szCs w:val="32"/>
          <w:lang w:val="zh-CN"/>
        </w:rPr>
      </w:pPr>
      <w:r w:rsidRPr="001801F1">
        <w:rPr>
          <w:rFonts w:ascii="仿宋_GB2312" w:eastAsia="仿宋_GB2312" w:hAnsi="宋体" w:cs="宋体" w:hint="eastAsia"/>
          <w:color w:val="000000"/>
          <w:sz w:val="32"/>
          <w:szCs w:val="32"/>
          <w:lang w:val="zh-CN"/>
        </w:rPr>
        <w:t>投标人在质保期内定期上门进行维修保养，并提供维修保养计划实施方案。</w:t>
      </w:r>
    </w:p>
    <w:p w:rsidR="001607F1" w:rsidRDefault="0036418B" w:rsidP="001607F1">
      <w:pPr>
        <w:tabs>
          <w:tab w:val="left" w:pos="0"/>
          <w:tab w:val="left" w:pos="987"/>
          <w:tab w:val="left" w:pos="1122"/>
        </w:tabs>
        <w:spacing w:line="560" w:lineRule="exact"/>
        <w:ind w:left="560"/>
        <w:rPr>
          <w:rFonts w:ascii="黑体" w:eastAsia="黑体" w:hAnsi="黑体"/>
          <w:sz w:val="28"/>
          <w:szCs w:val="28"/>
        </w:rPr>
      </w:pPr>
      <w:r>
        <w:rPr>
          <w:rFonts w:ascii="黑体" w:eastAsia="黑体" w:hAnsi="黑体" w:hint="eastAsia"/>
          <w:color w:val="000000"/>
          <w:sz w:val="32"/>
          <w:szCs w:val="32"/>
        </w:rPr>
        <w:t>六、</w:t>
      </w:r>
      <w:r w:rsidR="001607F1">
        <w:rPr>
          <w:rFonts w:ascii="黑体" w:eastAsia="黑体" w:hAnsi="黑体" w:hint="eastAsia"/>
          <w:sz w:val="28"/>
          <w:szCs w:val="28"/>
        </w:rPr>
        <w:t>供应商资格要求</w:t>
      </w:r>
    </w:p>
    <w:p w:rsidR="001607F1" w:rsidRPr="001607F1" w:rsidRDefault="00941822"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一</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符合《中华人民共和国政府采购法》第二十二条资格条件：</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1.具有独立承担民事责任的能力；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2.具有良好的商业信誉和健全的财务会计制度；</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3.具有履行合同所必需的设备和专业技术能力；</w:t>
      </w:r>
    </w:p>
    <w:p w:rsidR="001607F1" w:rsidRPr="001607F1" w:rsidRDefault="001607F1" w:rsidP="001607F1">
      <w:pPr>
        <w:spacing w:line="560" w:lineRule="exact"/>
        <w:ind w:left="560"/>
        <w:rPr>
          <w:rFonts w:ascii="仿宋_GB2312" w:eastAsia="仿宋_GB2312" w:hAnsiTheme="minorEastAsia"/>
          <w:sz w:val="32"/>
          <w:szCs w:val="32"/>
        </w:rPr>
      </w:pPr>
      <w:r w:rsidRPr="001607F1">
        <w:rPr>
          <w:rFonts w:ascii="仿宋_GB2312" w:eastAsia="仿宋_GB2312" w:hAnsiTheme="minorEastAsia" w:hint="eastAsia"/>
          <w:sz w:val="32"/>
          <w:szCs w:val="32"/>
        </w:rPr>
        <w:t>4.有依法缴纳税收和社会保障资金的良好记录；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5.参加政府采购活动前3年内，在经营活动中没有重大违法记录；</w:t>
      </w:r>
    </w:p>
    <w:p w:rsidR="001607F1" w:rsidRPr="001607F1" w:rsidRDefault="001607F1" w:rsidP="001607F1">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6.法律、行政法规规定的其他条件。</w:t>
      </w:r>
    </w:p>
    <w:p w:rsidR="001607F1" w:rsidRPr="001607F1" w:rsidRDefault="00941822" w:rsidP="001607F1">
      <w:pPr>
        <w:spacing w:line="560" w:lineRule="exact"/>
        <w:ind w:firstLineChars="200" w:firstLine="640"/>
        <w:rPr>
          <w:rFonts w:ascii="仿宋_GB2312" w:eastAsia="仿宋_GB2312" w:hAnsiTheme="minorEastAsia"/>
          <w:bCs/>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二</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国有企业；事业单位；军队单位；</w:t>
      </w:r>
      <w:r w:rsidR="001607F1" w:rsidRPr="001607F1">
        <w:rPr>
          <w:rFonts w:ascii="仿宋_GB2312" w:eastAsia="仿宋_GB2312" w:hAnsiTheme="minorEastAsia" w:hint="eastAsia"/>
          <w:b/>
          <w:sz w:val="32"/>
          <w:szCs w:val="32"/>
        </w:rPr>
        <w:t>成立三年以上的非外资控股企业</w:t>
      </w:r>
      <w:r w:rsidR="001607F1" w:rsidRPr="001607F1">
        <w:rPr>
          <w:rFonts w:ascii="仿宋_GB2312" w:eastAsia="仿宋_GB2312" w:hAnsiTheme="minorEastAsia" w:hint="eastAsia"/>
          <w:sz w:val="32"/>
          <w:szCs w:val="32"/>
        </w:rPr>
        <w:t>（外资控股企业，是指中国境外的股东出资额或者持有股份占公司股本百分之五十以上的企业）。</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三</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单位负责人为同一人或者存在直接控股、管理关系的不同供应商，不得同时参加同一包的采购活动。生产型企业的生产场经营地址或者注册登记地址为同一地址的，</w:t>
      </w:r>
      <w:r w:rsidR="001607F1" w:rsidRPr="001607F1">
        <w:rPr>
          <w:rFonts w:ascii="仿宋_GB2312" w:eastAsia="仿宋_GB2312" w:hAnsiTheme="minorEastAsia" w:cs="宋体" w:hint="eastAsia"/>
          <w:sz w:val="32"/>
          <w:szCs w:val="32"/>
        </w:rPr>
        <w:t>非国有销售型企业的股东和管理人员（法定代表人、董事、监事）之间存在近亲属、相互占股等关联的，也不得</w:t>
      </w:r>
      <w:r w:rsidR="001607F1" w:rsidRPr="001607F1">
        <w:rPr>
          <w:rFonts w:ascii="仿宋_GB2312" w:eastAsia="仿宋_GB2312" w:hAnsiTheme="minorEastAsia" w:hint="eastAsia"/>
          <w:sz w:val="32"/>
          <w:szCs w:val="32"/>
        </w:rPr>
        <w:t>同时参加同一</w:t>
      </w:r>
      <w:r w:rsidR="001607F1" w:rsidRPr="001607F1">
        <w:rPr>
          <w:rFonts w:ascii="仿宋_GB2312" w:eastAsia="仿宋_GB2312" w:hAnsiTheme="minorEastAsia" w:hint="eastAsia"/>
          <w:sz w:val="32"/>
          <w:szCs w:val="32"/>
        </w:rPr>
        <w:lastRenderedPageBreak/>
        <w:t>包的采购活动。近亲属指夫妻、直系血亲、三代以内旁系血亲或近姻亲关系。</w:t>
      </w:r>
    </w:p>
    <w:p w:rsidR="001607F1" w:rsidRPr="001607F1" w:rsidRDefault="00941822" w:rsidP="001607F1">
      <w:pPr>
        <w:tabs>
          <w:tab w:val="left" w:pos="0"/>
        </w:tabs>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四</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未被列入政府采购失信名单、军队供应商暂停名单，未在军队采购失信名单禁入处罚期内，未被“信用中国”网站列入失信被执行人、重大税收违法案件当事人。</w:t>
      </w:r>
    </w:p>
    <w:p w:rsidR="001607F1" w:rsidRPr="001607F1" w:rsidRDefault="00941822" w:rsidP="00941822">
      <w:pPr>
        <w:spacing w:line="560" w:lineRule="exact"/>
        <w:ind w:firstLineChars="200" w:firstLine="640"/>
        <w:rPr>
          <w:rFonts w:ascii="仿宋_GB2312" w:eastAsia="仿宋_GB2312" w:hAnsiTheme="minorEastAsia"/>
          <w:sz w:val="32"/>
          <w:szCs w:val="32"/>
        </w:rPr>
      </w:pPr>
      <w:r w:rsidRPr="001607F1">
        <w:rPr>
          <w:rFonts w:ascii="仿宋_GB2312" w:eastAsia="仿宋_GB2312" w:hAnsiTheme="minorEastAsia" w:hint="eastAsia"/>
          <w:sz w:val="32"/>
          <w:szCs w:val="32"/>
        </w:rPr>
        <w:t>(</w:t>
      </w:r>
      <w:r>
        <w:rPr>
          <w:rFonts w:ascii="仿宋_GB2312" w:eastAsia="仿宋_GB2312" w:hAnsiTheme="minorEastAsia" w:hint="eastAsia"/>
          <w:sz w:val="32"/>
          <w:szCs w:val="32"/>
        </w:rPr>
        <w:t>五</w:t>
      </w:r>
      <w:r w:rsidRPr="001607F1">
        <w:rPr>
          <w:rFonts w:ascii="仿宋_GB2312" w:eastAsia="仿宋_GB2312" w:hAnsiTheme="minorEastAsia" w:hint="eastAsia"/>
          <w:sz w:val="32"/>
          <w:szCs w:val="32"/>
        </w:rPr>
        <w:t>)</w:t>
      </w:r>
      <w:r w:rsidR="001607F1" w:rsidRPr="001607F1">
        <w:rPr>
          <w:rFonts w:ascii="仿宋_GB2312" w:eastAsia="仿宋_GB2312" w:hAnsiTheme="minorEastAsia" w:hint="eastAsia"/>
          <w:sz w:val="32"/>
          <w:szCs w:val="32"/>
        </w:rPr>
        <w:t xml:space="preserve">本项目不接受联合体投标。 </w:t>
      </w:r>
    </w:p>
    <w:p w:rsidR="00AB74DB" w:rsidRPr="00271170" w:rsidRDefault="00AB74DB" w:rsidP="00AB74DB">
      <w:pPr>
        <w:widowControl/>
        <w:spacing w:line="500" w:lineRule="exact"/>
        <w:ind w:firstLineChars="200" w:firstLine="640"/>
        <w:rPr>
          <w:rFonts w:ascii="仿宋_GB2312" w:eastAsia="仿宋_GB2312" w:hAnsi="宋体" w:hint="eastAsia"/>
          <w:color w:val="000000"/>
          <w:sz w:val="32"/>
          <w:szCs w:val="32"/>
        </w:rPr>
      </w:pPr>
      <w:r w:rsidRPr="00271170">
        <w:rPr>
          <w:rFonts w:ascii="仿宋_GB2312" w:eastAsia="仿宋_GB2312" w:hAnsiTheme="minorEastAsia" w:hint="eastAsia"/>
          <w:sz w:val="32"/>
          <w:szCs w:val="32"/>
        </w:rPr>
        <w:t>(六)</w:t>
      </w:r>
      <w:r w:rsidR="00DD501B">
        <w:rPr>
          <w:rFonts w:ascii="仿宋_GB2312" w:eastAsia="仿宋_GB2312" w:hAnsi="宋体" w:hint="eastAsia"/>
          <w:color w:val="000000"/>
          <w:sz w:val="32"/>
          <w:szCs w:val="32"/>
        </w:rPr>
        <w:t>原厂</w:t>
      </w:r>
      <w:r w:rsidRPr="00271170">
        <w:rPr>
          <w:rFonts w:ascii="仿宋_GB2312" w:eastAsia="仿宋_GB2312" w:hAnsi="宋体" w:hint="eastAsia"/>
          <w:color w:val="000000"/>
          <w:sz w:val="32"/>
          <w:szCs w:val="32"/>
        </w:rPr>
        <w:t>具备ISO9001质量管理体系认证证书；具备ISO20000信息技术服务管理体系认证证书；具备ISO27001</w:t>
      </w:r>
      <w:r w:rsidR="00271170">
        <w:rPr>
          <w:rFonts w:ascii="仿宋_GB2312" w:eastAsia="仿宋_GB2312" w:hAnsi="宋体" w:hint="eastAsia"/>
          <w:color w:val="000000"/>
          <w:sz w:val="32"/>
          <w:szCs w:val="32"/>
        </w:rPr>
        <w:t>信息安全管理体系认证证书（提供相关证明材料）。</w:t>
      </w:r>
    </w:p>
    <w:p w:rsidR="00AB74DB" w:rsidRPr="00271170" w:rsidRDefault="00AB74DB" w:rsidP="00AB74DB">
      <w:pPr>
        <w:widowControl/>
        <w:spacing w:line="500" w:lineRule="exact"/>
        <w:ind w:firstLineChars="200" w:firstLine="640"/>
        <w:rPr>
          <w:rFonts w:ascii="仿宋_GB2312" w:eastAsia="仿宋_GB2312" w:hAnsi="宋体" w:hint="eastAsia"/>
          <w:color w:val="000000"/>
          <w:sz w:val="32"/>
          <w:szCs w:val="32"/>
        </w:rPr>
      </w:pPr>
      <w:r w:rsidRPr="00271170">
        <w:rPr>
          <w:rFonts w:ascii="仿宋_GB2312" w:eastAsia="仿宋_GB2312" w:hAnsiTheme="minorEastAsia" w:hint="eastAsia"/>
          <w:sz w:val="32"/>
          <w:szCs w:val="32"/>
        </w:rPr>
        <w:t>(七)</w:t>
      </w:r>
      <w:r w:rsidR="0015298D">
        <w:rPr>
          <w:rFonts w:ascii="仿宋_GB2312" w:eastAsia="仿宋_GB2312" w:hAnsi="宋体" w:hint="eastAsia"/>
          <w:color w:val="000000"/>
          <w:sz w:val="32"/>
          <w:szCs w:val="32"/>
        </w:rPr>
        <w:t>原厂</w:t>
      </w:r>
      <w:r w:rsidRPr="00271170">
        <w:rPr>
          <w:rFonts w:ascii="仿宋_GB2312" w:eastAsia="仿宋_GB2312" w:hAnsi="宋体" w:hint="eastAsia"/>
          <w:color w:val="000000"/>
          <w:sz w:val="32"/>
          <w:szCs w:val="32"/>
        </w:rPr>
        <w:t>应拥有存储产品相关自主知识产权，非OEM品牌或联合品牌（提供相关证明材料）。</w:t>
      </w:r>
    </w:p>
    <w:p w:rsidR="002271E7" w:rsidRPr="00271170" w:rsidRDefault="002271E7" w:rsidP="001607F1">
      <w:pPr>
        <w:spacing w:line="579" w:lineRule="exact"/>
        <w:ind w:firstLineChars="200" w:firstLine="640"/>
        <w:rPr>
          <w:rFonts w:ascii="仿宋_GB2312" w:eastAsia="仿宋_GB2312" w:hint="eastAsia"/>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Default="001607F1" w:rsidP="001607F1">
      <w:pPr>
        <w:spacing w:line="579" w:lineRule="exact"/>
        <w:ind w:firstLineChars="200" w:firstLine="640"/>
        <w:rPr>
          <w:rFonts w:ascii="仿宋_GB2312" w:eastAsia="仿宋_GB2312"/>
          <w:sz w:val="32"/>
          <w:szCs w:val="32"/>
        </w:rPr>
      </w:pPr>
    </w:p>
    <w:p w:rsidR="001607F1" w:rsidRPr="00C82B3D" w:rsidRDefault="001607F1" w:rsidP="00DD2CA3">
      <w:pPr>
        <w:rPr>
          <w:rFonts w:ascii="黑体" w:eastAsia="黑体" w:hAnsi="黑体"/>
          <w:sz w:val="32"/>
          <w:szCs w:val="32"/>
        </w:rPr>
        <w:sectPr w:rsidR="001607F1" w:rsidRPr="00C82B3D" w:rsidSect="001607F1">
          <w:footerReference w:type="default" r:id="rId8"/>
          <w:pgSz w:w="11906" w:h="16838"/>
          <w:pgMar w:top="1440" w:right="1797" w:bottom="1440" w:left="1797" w:header="851" w:footer="992" w:gutter="0"/>
          <w:cols w:space="425"/>
          <w:docGrid w:linePitch="312"/>
        </w:sectPr>
      </w:pPr>
    </w:p>
    <w:p w:rsidR="002271E7" w:rsidRPr="002271E7" w:rsidRDefault="006C738E" w:rsidP="00DD2CA3">
      <w:pPr>
        <w:rPr>
          <w:rFonts w:ascii="黑体" w:eastAsia="黑体" w:hAnsi="黑体"/>
          <w:sz w:val="32"/>
          <w:szCs w:val="32"/>
        </w:rPr>
      </w:pPr>
      <w:r>
        <w:rPr>
          <w:rFonts w:ascii="黑体" w:eastAsia="黑体" w:hAnsi="黑体" w:hint="eastAsia"/>
          <w:sz w:val="32"/>
          <w:szCs w:val="32"/>
        </w:rPr>
        <w:lastRenderedPageBreak/>
        <w:t>技术参数</w:t>
      </w:r>
    </w:p>
    <w:tbl>
      <w:tblPr>
        <w:tblW w:w="14616" w:type="dxa"/>
        <w:tblInd w:w="93" w:type="dxa"/>
        <w:tblLook w:val="04A0"/>
      </w:tblPr>
      <w:tblGrid>
        <w:gridCol w:w="740"/>
        <w:gridCol w:w="1260"/>
        <w:gridCol w:w="10960"/>
        <w:gridCol w:w="805"/>
        <w:gridCol w:w="851"/>
      </w:tblGrid>
      <w:tr w:rsidR="002271E7" w:rsidRPr="002271E7" w:rsidTr="006B144A">
        <w:trPr>
          <w:trHeight w:val="28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color w:val="000000"/>
                <w:kern w:val="0"/>
                <w:sz w:val="24"/>
                <w:szCs w:val="24"/>
              </w:rPr>
            </w:pPr>
            <w:r w:rsidRPr="002271E7">
              <w:rPr>
                <w:rFonts w:ascii="等线" w:eastAsia="等线" w:hAnsi="宋体" w:cs="宋体" w:hint="eastAsia"/>
                <w:b/>
                <w:bCs/>
                <w:color w:val="000000"/>
                <w:kern w:val="0"/>
                <w:sz w:val="24"/>
                <w:szCs w:val="24"/>
              </w:rPr>
              <w:t>序号</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color w:val="000000"/>
                <w:kern w:val="0"/>
                <w:sz w:val="24"/>
                <w:szCs w:val="24"/>
              </w:rPr>
            </w:pPr>
            <w:r w:rsidRPr="002271E7">
              <w:rPr>
                <w:rFonts w:ascii="等线" w:eastAsia="等线" w:hAnsi="宋体" w:cs="宋体" w:hint="eastAsia"/>
                <w:b/>
                <w:bCs/>
                <w:color w:val="000000"/>
                <w:kern w:val="0"/>
                <w:sz w:val="24"/>
                <w:szCs w:val="24"/>
              </w:rPr>
              <w:t>设备名称</w:t>
            </w:r>
          </w:p>
        </w:tc>
        <w:tc>
          <w:tcPr>
            <w:tcW w:w="10960" w:type="dxa"/>
            <w:tcBorders>
              <w:top w:val="single" w:sz="4" w:space="0" w:color="auto"/>
              <w:left w:val="nil"/>
              <w:bottom w:val="single" w:sz="4" w:space="0" w:color="auto"/>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kern w:val="0"/>
                <w:sz w:val="24"/>
                <w:szCs w:val="24"/>
              </w:rPr>
            </w:pPr>
            <w:r w:rsidRPr="002271E7">
              <w:rPr>
                <w:rFonts w:ascii="等线" w:eastAsia="等线" w:hAnsi="宋体" w:cs="宋体" w:hint="eastAsia"/>
                <w:b/>
                <w:bCs/>
                <w:kern w:val="0"/>
                <w:sz w:val="24"/>
                <w:szCs w:val="24"/>
              </w:rPr>
              <w:t>参数</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color w:val="000000"/>
                <w:kern w:val="0"/>
                <w:sz w:val="24"/>
                <w:szCs w:val="24"/>
              </w:rPr>
            </w:pPr>
            <w:r w:rsidRPr="002271E7">
              <w:rPr>
                <w:rFonts w:ascii="等线" w:eastAsia="等线" w:hAnsi="宋体" w:cs="宋体" w:hint="eastAsia"/>
                <w:b/>
                <w:bCs/>
                <w:color w:val="000000"/>
                <w:kern w:val="0"/>
                <w:sz w:val="24"/>
                <w:szCs w:val="24"/>
              </w:rPr>
              <w:t>数量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color w:val="000000"/>
                <w:kern w:val="0"/>
                <w:sz w:val="24"/>
                <w:szCs w:val="24"/>
              </w:rPr>
            </w:pPr>
            <w:r w:rsidRPr="002271E7">
              <w:rPr>
                <w:rFonts w:ascii="等线" w:eastAsia="等线" w:hAnsi="宋体" w:cs="宋体" w:hint="eastAsia"/>
                <w:b/>
                <w:bCs/>
                <w:color w:val="000000"/>
                <w:kern w:val="0"/>
                <w:sz w:val="24"/>
                <w:szCs w:val="24"/>
              </w:rPr>
              <w:t>单位</w:t>
            </w:r>
          </w:p>
        </w:tc>
      </w:tr>
      <w:tr w:rsidR="002271E7" w:rsidRPr="002271E7" w:rsidTr="006B144A">
        <w:trPr>
          <w:trHeight w:val="600"/>
        </w:trPr>
        <w:tc>
          <w:tcPr>
            <w:tcW w:w="7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color w:val="000000"/>
                <w:kern w:val="0"/>
                <w:sz w:val="24"/>
                <w:szCs w:val="24"/>
              </w:rPr>
            </w:pPr>
            <w:r w:rsidRPr="002271E7">
              <w:rPr>
                <w:rFonts w:ascii="等线" w:eastAsia="等线" w:hAnsi="宋体" w:cs="宋体" w:hint="eastAsia"/>
                <w:b/>
                <w:bCs/>
                <w:color w:val="000000"/>
                <w:kern w:val="0"/>
                <w:sz w:val="24"/>
                <w:szCs w:val="24"/>
              </w:rPr>
              <w:t>1</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color w:val="000000"/>
                <w:kern w:val="0"/>
                <w:sz w:val="24"/>
                <w:szCs w:val="24"/>
              </w:rPr>
            </w:pPr>
            <w:r w:rsidRPr="002271E7">
              <w:rPr>
                <w:rFonts w:ascii="等线" w:eastAsia="等线" w:hAnsi="宋体" w:cs="宋体" w:hint="eastAsia"/>
                <w:b/>
                <w:bCs/>
                <w:color w:val="000000"/>
                <w:kern w:val="0"/>
                <w:sz w:val="24"/>
                <w:szCs w:val="24"/>
              </w:rPr>
              <w:t>存储器</w:t>
            </w: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kern w:val="0"/>
                <w:sz w:val="22"/>
              </w:rPr>
            </w:pPr>
            <w:r w:rsidRPr="002271E7">
              <w:rPr>
                <w:rFonts w:ascii="等线" w:eastAsia="等线" w:hAnsi="宋体" w:cs="宋体" w:hint="eastAsia"/>
                <w:b/>
                <w:bCs/>
                <w:kern w:val="0"/>
                <w:sz w:val="22"/>
              </w:rPr>
              <w:t>品牌：</w:t>
            </w:r>
            <w:r w:rsidRPr="002271E7">
              <w:rPr>
                <w:rFonts w:ascii="等线" w:eastAsia="等线" w:hAnsi="宋体" w:cs="宋体" w:hint="eastAsia"/>
                <w:kern w:val="0"/>
                <w:sz w:val="22"/>
              </w:rPr>
              <w:t>国内知名品牌；</w:t>
            </w:r>
          </w:p>
        </w:tc>
        <w:tc>
          <w:tcPr>
            <w:tcW w:w="8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color w:val="000000"/>
                <w:kern w:val="0"/>
                <w:sz w:val="24"/>
                <w:szCs w:val="24"/>
              </w:rPr>
            </w:pPr>
            <w:r w:rsidRPr="002271E7">
              <w:rPr>
                <w:rFonts w:ascii="等线" w:eastAsia="等线" w:hAnsi="宋体" w:cs="宋体" w:hint="eastAsia"/>
                <w:b/>
                <w:bCs/>
                <w:color w:val="000000"/>
                <w:kern w:val="0"/>
                <w:sz w:val="24"/>
                <w:szCs w:val="24"/>
              </w:rPr>
              <w:t>1</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71E7" w:rsidRPr="002271E7" w:rsidRDefault="002271E7" w:rsidP="002271E7">
            <w:pPr>
              <w:widowControl/>
              <w:jc w:val="center"/>
              <w:rPr>
                <w:rFonts w:ascii="等线" w:eastAsia="等线" w:hAnsi="宋体" w:cs="宋体"/>
                <w:b/>
                <w:bCs/>
                <w:color w:val="000000"/>
                <w:kern w:val="0"/>
                <w:sz w:val="24"/>
                <w:szCs w:val="24"/>
              </w:rPr>
            </w:pPr>
            <w:r w:rsidRPr="002271E7">
              <w:rPr>
                <w:rFonts w:ascii="等线" w:eastAsia="等线" w:hAnsi="宋体" w:cs="宋体" w:hint="eastAsia"/>
                <w:b/>
                <w:bCs/>
                <w:color w:val="000000"/>
                <w:kern w:val="0"/>
                <w:sz w:val="24"/>
                <w:szCs w:val="24"/>
              </w:rPr>
              <w:t>套</w:t>
            </w: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体系架构：</w:t>
            </w:r>
            <w:r w:rsidRPr="002271E7">
              <w:rPr>
                <w:rFonts w:ascii="等线" w:eastAsia="等线" w:hAnsi="宋体" w:cs="宋体" w:hint="eastAsia"/>
                <w:kern w:val="0"/>
                <w:sz w:val="22"/>
              </w:rPr>
              <w:t>多控制器架构；配置≥2个SAN控制器，可实现单LUN业务均衡负载到所有控制器；最大可扩展至≥32个SAN控制器，多控扩展支持FC及低延迟以太网双协议实现控制器间互连；</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缓存：</w:t>
            </w:r>
            <w:r w:rsidRPr="002271E7">
              <w:rPr>
                <w:rFonts w:ascii="等线" w:eastAsia="等线" w:hAnsi="宋体" w:cs="宋体" w:hint="eastAsia"/>
                <w:kern w:val="0"/>
                <w:sz w:val="22"/>
              </w:rPr>
              <w:t>配置高速缓存≥256GB；最大缓存扩展能力≥24TB，缓存不包括SSD磁盘、闪存、NAS机头的内存等；</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38"/>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主机接口：</w:t>
            </w:r>
            <w:r w:rsidRPr="002271E7">
              <w:rPr>
                <w:rFonts w:ascii="等线" w:eastAsia="等线" w:hAnsi="宋体" w:cs="宋体" w:hint="eastAsia"/>
                <w:kern w:val="0"/>
                <w:sz w:val="22"/>
              </w:rPr>
              <w:t>配置16Gb FC主机接口≥8个（含模块（成对）），配置10Gb FC主机接口≥4个（含10Gb多模模块（成对）），配置1Gb主机接口≥6个；</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kern w:val="0"/>
                <w:sz w:val="22"/>
              </w:rPr>
            </w:pPr>
            <w:r w:rsidRPr="002271E7">
              <w:rPr>
                <w:rFonts w:ascii="等线" w:eastAsia="等线" w:hAnsi="宋体" w:cs="宋体" w:hint="eastAsia"/>
                <w:b/>
                <w:bCs/>
                <w:kern w:val="0"/>
                <w:sz w:val="22"/>
              </w:rPr>
              <w:t>支持协议：</w:t>
            </w:r>
            <w:r w:rsidRPr="002271E7">
              <w:rPr>
                <w:rFonts w:ascii="等线" w:eastAsia="等线" w:hAnsi="宋体" w:cs="宋体" w:hint="eastAsia"/>
                <w:kern w:val="0"/>
                <w:sz w:val="22"/>
              </w:rPr>
              <w:t>支持FC、iSCSI、NVMe over FC、NVMe over RoCE等接入方式；（提供截图或相关证明文件，并加盖原厂公章）</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RAID特性：</w:t>
            </w:r>
            <w:r w:rsidRPr="002271E7">
              <w:rPr>
                <w:rFonts w:ascii="等线" w:eastAsia="等线" w:hAnsi="宋体" w:cs="宋体" w:hint="eastAsia"/>
                <w:kern w:val="0"/>
                <w:sz w:val="22"/>
              </w:rPr>
              <w:t>支持RAID0/1/3/4/5/6/10/50/60等；支持全局、空闲、专用热备；</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硬盘配置：</w:t>
            </w:r>
            <w:r w:rsidRPr="002271E7">
              <w:rPr>
                <w:rFonts w:ascii="等线" w:eastAsia="等线" w:hAnsi="宋体" w:cs="宋体" w:hint="eastAsia"/>
                <w:kern w:val="0"/>
                <w:sz w:val="22"/>
              </w:rPr>
              <w:t>配置≥600G SAS硬盘*4块；配置≥1.92TB SSD硬盘*4块；配置≥8TB SAS硬盘，数量≥14块；双控最大支持≥3200块硬盘；</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硬盘支持类型：</w:t>
            </w:r>
            <w:r w:rsidRPr="002271E7">
              <w:rPr>
                <w:rFonts w:ascii="等线" w:eastAsia="等线" w:hAnsi="宋体" w:cs="宋体" w:hint="eastAsia"/>
                <w:kern w:val="0"/>
                <w:sz w:val="22"/>
              </w:rPr>
              <w:t>NVMe、SSD、SAS、NL-SAS、SATA等，并支持不同类型混插；</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缓存加速功能：</w:t>
            </w:r>
            <w:r w:rsidRPr="002271E7">
              <w:rPr>
                <w:rFonts w:ascii="等线" w:eastAsia="等线" w:hAnsi="宋体" w:cs="宋体" w:hint="eastAsia"/>
                <w:kern w:val="0"/>
                <w:sz w:val="22"/>
              </w:rPr>
              <w:t>配置SSD缓存加速功能；</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NAS特性：</w:t>
            </w:r>
            <w:r w:rsidRPr="002271E7">
              <w:rPr>
                <w:rFonts w:ascii="等线" w:eastAsia="等线" w:hAnsi="宋体" w:cs="宋体" w:hint="eastAsia"/>
                <w:kern w:val="0"/>
                <w:sz w:val="22"/>
              </w:rPr>
              <w:t>配置一体化NAS功能，存储设备同时提供SAN和NAS功能，无需配置NAS网关；支持CIFS、NFS、FTP等协议；</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在线升级：</w:t>
            </w:r>
            <w:r w:rsidRPr="002271E7">
              <w:rPr>
                <w:rFonts w:ascii="等线" w:eastAsia="等线" w:hAnsi="宋体" w:cs="宋体" w:hint="eastAsia"/>
                <w:kern w:val="0"/>
                <w:sz w:val="22"/>
              </w:rPr>
              <w:t>支持控制器在线升级，升级过程中前端业务运行正常；（提供国家相关评测机构检测报告或相关证明文件，并加盖原厂公章）；</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kern w:val="0"/>
                <w:sz w:val="22"/>
              </w:rPr>
            </w:pPr>
            <w:r w:rsidRPr="002271E7">
              <w:rPr>
                <w:rFonts w:ascii="等线" w:eastAsia="等线" w:hAnsi="宋体" w:cs="宋体" w:hint="eastAsia"/>
                <w:b/>
                <w:bCs/>
                <w:kern w:val="0"/>
                <w:sz w:val="22"/>
              </w:rPr>
              <w:t>虚拟化平台兼容性</w:t>
            </w:r>
            <w:r w:rsidRPr="002271E7">
              <w:rPr>
                <w:rFonts w:ascii="等线" w:eastAsia="等线" w:hAnsi="宋体" w:cs="宋体" w:hint="eastAsia"/>
                <w:kern w:val="0"/>
                <w:sz w:val="22"/>
              </w:rPr>
              <w:t>：VMware、Hyper-V、OpenStack、KVM、XEN等；（提供截图或相关证明文件，并加盖原厂公章）</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12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b/>
                <w:bCs/>
                <w:kern w:val="0"/>
                <w:sz w:val="22"/>
              </w:rPr>
            </w:pPr>
            <w:r w:rsidRPr="002271E7">
              <w:rPr>
                <w:rFonts w:ascii="等线" w:eastAsia="等线" w:hAnsi="宋体" w:cs="宋体" w:hint="eastAsia"/>
                <w:b/>
                <w:bCs/>
                <w:kern w:val="0"/>
                <w:sz w:val="22"/>
              </w:rPr>
              <w:t>管理软件：</w:t>
            </w:r>
            <w:r w:rsidRPr="002271E7">
              <w:rPr>
                <w:rFonts w:ascii="等线" w:eastAsia="等线" w:hAnsi="宋体" w:cs="宋体" w:hint="eastAsia"/>
                <w:kern w:val="0"/>
                <w:sz w:val="22"/>
              </w:rPr>
              <w:t>可实现存储系统的集中化部署、管理、监控和维护，支持SMI-S接口标准,具备SMI-S V1.8.0版本认证（提供认证截图或相关证明文件，并加盖原厂公章）；配置IPv4/v6协议授权，可通过IPv4/v6协议进行存储访问、带外管理、远程复制等。配置中文图形化管理、命令行管理软件平台，并提供数据访问及管理接口；具备基本存储管理，系统监控、日志及告警等功能；</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kern w:val="0"/>
                <w:sz w:val="22"/>
              </w:rPr>
            </w:pPr>
            <w:r w:rsidRPr="002271E7">
              <w:rPr>
                <w:rFonts w:ascii="等线" w:eastAsia="等线" w:hAnsi="宋体" w:cs="宋体" w:hint="eastAsia"/>
                <w:b/>
                <w:bCs/>
                <w:kern w:val="0"/>
                <w:sz w:val="22"/>
              </w:rPr>
              <w:t>无中断数据迁移：</w:t>
            </w:r>
            <w:r w:rsidRPr="002271E7">
              <w:rPr>
                <w:rFonts w:ascii="等线" w:eastAsia="等线" w:hAnsi="宋体" w:cs="宋体" w:hint="eastAsia"/>
                <w:kern w:val="0"/>
                <w:sz w:val="22"/>
              </w:rPr>
              <w:t xml:space="preserve">支持无中断数据迁移功能，支持阵列内部、阵列之间（含混合阵列）以及异构设备间，跨设备的业务无中断数据迁移； </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kern w:val="0"/>
                <w:sz w:val="22"/>
              </w:rPr>
            </w:pPr>
            <w:r w:rsidRPr="002271E7">
              <w:rPr>
                <w:rFonts w:ascii="等线" w:eastAsia="等线" w:hAnsi="宋体" w:cs="宋体" w:hint="eastAsia"/>
                <w:b/>
                <w:bCs/>
                <w:kern w:val="0"/>
                <w:sz w:val="22"/>
              </w:rPr>
              <w:t>维保服务：</w:t>
            </w:r>
            <w:r w:rsidRPr="002271E7">
              <w:rPr>
                <w:rFonts w:ascii="等线" w:eastAsia="等线" w:hAnsi="宋体" w:cs="宋体" w:hint="eastAsia"/>
                <w:kern w:val="0"/>
                <w:sz w:val="22"/>
              </w:rPr>
              <w:t>三年原厂维保，提供原厂针对该项目的授权及售后服务承诺函（加盖原厂公章）；</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r w:rsidR="002271E7" w:rsidRPr="002271E7" w:rsidTr="006B144A">
        <w:trPr>
          <w:trHeight w:val="600"/>
        </w:trPr>
        <w:tc>
          <w:tcPr>
            <w:tcW w:w="74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260"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10960" w:type="dxa"/>
            <w:tcBorders>
              <w:top w:val="nil"/>
              <w:left w:val="nil"/>
              <w:bottom w:val="single" w:sz="4" w:space="0" w:color="auto"/>
              <w:right w:val="single" w:sz="4" w:space="0" w:color="auto"/>
            </w:tcBorders>
            <w:shd w:val="clear" w:color="auto" w:fill="auto"/>
            <w:vAlign w:val="center"/>
            <w:hideMark/>
          </w:tcPr>
          <w:p w:rsidR="002271E7" w:rsidRPr="002271E7" w:rsidRDefault="002271E7" w:rsidP="002271E7">
            <w:pPr>
              <w:widowControl/>
              <w:jc w:val="left"/>
              <w:rPr>
                <w:rFonts w:ascii="等线" w:eastAsia="等线" w:hAnsi="宋体" w:cs="宋体"/>
                <w:kern w:val="0"/>
                <w:sz w:val="22"/>
              </w:rPr>
            </w:pPr>
            <w:r w:rsidRPr="002271E7">
              <w:rPr>
                <w:rFonts w:ascii="等线" w:eastAsia="等线" w:hAnsi="宋体" w:cs="宋体" w:hint="eastAsia"/>
                <w:b/>
                <w:bCs/>
                <w:kern w:val="0"/>
                <w:sz w:val="22"/>
              </w:rPr>
              <w:t>配套辅材：</w:t>
            </w:r>
            <w:r w:rsidRPr="002271E7">
              <w:rPr>
                <w:rFonts w:ascii="等线" w:eastAsia="等线" w:hAnsi="宋体" w:cs="宋体" w:hint="eastAsia"/>
                <w:kern w:val="0"/>
                <w:sz w:val="22"/>
              </w:rPr>
              <w:t>包含但不限于部署过程所需的各类线缆及备件。</w:t>
            </w:r>
          </w:p>
        </w:tc>
        <w:tc>
          <w:tcPr>
            <w:tcW w:w="805"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2271E7" w:rsidRPr="002271E7" w:rsidRDefault="002271E7" w:rsidP="002271E7">
            <w:pPr>
              <w:widowControl/>
              <w:jc w:val="left"/>
              <w:rPr>
                <w:rFonts w:ascii="等线" w:eastAsia="等线" w:hAnsi="宋体" w:cs="宋体"/>
                <w:b/>
                <w:bCs/>
                <w:color w:val="000000"/>
                <w:kern w:val="0"/>
                <w:sz w:val="24"/>
                <w:szCs w:val="24"/>
              </w:rPr>
            </w:pPr>
          </w:p>
        </w:tc>
      </w:tr>
    </w:tbl>
    <w:p w:rsidR="002271E7" w:rsidRPr="002271E7" w:rsidRDefault="002271E7" w:rsidP="002A593C">
      <w:pPr>
        <w:rPr>
          <w:szCs w:val="28"/>
        </w:rPr>
      </w:pPr>
    </w:p>
    <w:sectPr w:rsidR="002271E7" w:rsidRPr="002271E7" w:rsidSect="001607F1">
      <w:pgSz w:w="16838" w:h="11906" w:orient="landscape"/>
      <w:pgMar w:top="1797" w:right="1440"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2E2" w:rsidRDefault="007E22E2" w:rsidP="009A2E1E">
      <w:r>
        <w:separator/>
      </w:r>
    </w:p>
  </w:endnote>
  <w:endnote w:type="continuationSeparator" w:id="1">
    <w:p w:rsidR="007E22E2" w:rsidRDefault="007E22E2" w:rsidP="009A2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6886"/>
      <w:docPartObj>
        <w:docPartGallery w:val="Page Numbers (Bottom of Page)"/>
        <w:docPartUnique/>
      </w:docPartObj>
    </w:sdtPr>
    <w:sdtContent>
      <w:p w:rsidR="00F2592D" w:rsidRDefault="00F2592D">
        <w:pPr>
          <w:pStyle w:val="a4"/>
          <w:jc w:val="right"/>
        </w:pPr>
        <w:fldSimple w:instr=" PAGE   \* MERGEFORMAT ">
          <w:r w:rsidR="00EA1842" w:rsidRPr="00EA1842">
            <w:rPr>
              <w:noProof/>
              <w:lang w:val="zh-CN"/>
            </w:rPr>
            <w:t>2</w:t>
          </w:r>
        </w:fldSimple>
      </w:p>
    </w:sdtContent>
  </w:sdt>
  <w:p w:rsidR="00F2592D" w:rsidRDefault="00F259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2E2" w:rsidRDefault="007E22E2" w:rsidP="009A2E1E">
      <w:r>
        <w:separator/>
      </w:r>
    </w:p>
  </w:footnote>
  <w:footnote w:type="continuationSeparator" w:id="1">
    <w:p w:rsidR="007E22E2" w:rsidRDefault="007E22E2" w:rsidP="009A2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07E5"/>
    <w:multiLevelType w:val="multilevel"/>
    <w:tmpl w:val="258F07E5"/>
    <w:lvl w:ilvl="0">
      <w:start w:val="1"/>
      <w:numFmt w:val="decimal"/>
      <w:lvlText w:val="%1、"/>
      <w:lvlJc w:val="left"/>
      <w:pPr>
        <w:tabs>
          <w:tab w:val="num" w:pos="840"/>
        </w:tabs>
        <w:ind w:left="8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DA2991"/>
    <w:multiLevelType w:val="multilevel"/>
    <w:tmpl w:val="39DA2991"/>
    <w:lvl w:ilvl="0">
      <w:start w:val="1"/>
      <w:numFmt w:val="chineseCountingThousand"/>
      <w:suff w:val="nothing"/>
      <w:lvlText w:val="%1、"/>
      <w:lvlJc w:val="left"/>
      <w:pPr>
        <w:ind w:left="13" w:firstLine="555"/>
      </w:pPr>
      <w:rPr>
        <w:rFonts w:cs="Times New Roman" w:hint="eastAsia"/>
        <w:b w:val="0"/>
      </w:rPr>
    </w:lvl>
    <w:lvl w:ilvl="1">
      <w:start w:val="1"/>
      <w:numFmt w:val="japaneseCounting"/>
      <w:lvlText w:val="%2、"/>
      <w:lvlJc w:val="left"/>
      <w:pPr>
        <w:ind w:left="1701" w:hanging="720"/>
      </w:pPr>
      <w:rPr>
        <w:rFonts w:cs="Times New Roman" w:hint="default"/>
      </w:rPr>
    </w:lvl>
    <w:lvl w:ilvl="2">
      <w:start w:val="1"/>
      <w:numFmt w:val="lowerRoman"/>
      <w:lvlText w:val="%3."/>
      <w:lvlJc w:val="right"/>
      <w:pPr>
        <w:ind w:left="1821" w:hanging="420"/>
      </w:pPr>
      <w:rPr>
        <w:rFonts w:cs="Times New Roman"/>
      </w:rPr>
    </w:lvl>
    <w:lvl w:ilvl="3">
      <w:start w:val="1"/>
      <w:numFmt w:val="decimal"/>
      <w:lvlText w:val="%4."/>
      <w:lvlJc w:val="left"/>
      <w:pPr>
        <w:ind w:left="2241" w:hanging="420"/>
      </w:pPr>
      <w:rPr>
        <w:rFonts w:cs="Times New Roman"/>
      </w:rPr>
    </w:lvl>
    <w:lvl w:ilvl="4">
      <w:start w:val="1"/>
      <w:numFmt w:val="lowerLetter"/>
      <w:lvlText w:val="%5)"/>
      <w:lvlJc w:val="left"/>
      <w:pPr>
        <w:ind w:left="2661" w:hanging="420"/>
      </w:pPr>
      <w:rPr>
        <w:rFonts w:cs="Times New Roman"/>
      </w:rPr>
    </w:lvl>
    <w:lvl w:ilvl="5">
      <w:start w:val="1"/>
      <w:numFmt w:val="lowerRoman"/>
      <w:lvlText w:val="%6."/>
      <w:lvlJc w:val="right"/>
      <w:pPr>
        <w:ind w:left="3081" w:hanging="420"/>
      </w:pPr>
      <w:rPr>
        <w:rFonts w:cs="Times New Roman"/>
      </w:rPr>
    </w:lvl>
    <w:lvl w:ilvl="6">
      <w:start w:val="1"/>
      <w:numFmt w:val="decimal"/>
      <w:lvlText w:val="%7."/>
      <w:lvlJc w:val="left"/>
      <w:pPr>
        <w:ind w:left="3501" w:hanging="420"/>
      </w:pPr>
      <w:rPr>
        <w:rFonts w:cs="Times New Roman"/>
      </w:rPr>
    </w:lvl>
    <w:lvl w:ilvl="7">
      <w:start w:val="1"/>
      <w:numFmt w:val="lowerLetter"/>
      <w:lvlText w:val="%8)"/>
      <w:lvlJc w:val="left"/>
      <w:pPr>
        <w:ind w:left="3921" w:hanging="420"/>
      </w:pPr>
      <w:rPr>
        <w:rFonts w:cs="Times New Roman"/>
      </w:rPr>
    </w:lvl>
    <w:lvl w:ilvl="8">
      <w:start w:val="1"/>
      <w:numFmt w:val="lowerRoman"/>
      <w:lvlText w:val="%9."/>
      <w:lvlJc w:val="right"/>
      <w:pPr>
        <w:ind w:left="4341" w:hanging="420"/>
      </w:pPr>
      <w:rPr>
        <w:rFonts w:cs="Times New Roman"/>
      </w:rPr>
    </w:lvl>
  </w:abstractNum>
  <w:abstractNum w:abstractNumId="2">
    <w:nsid w:val="626632BE"/>
    <w:multiLevelType w:val="singleLevel"/>
    <w:tmpl w:val="626632BE"/>
    <w:lvl w:ilvl="0">
      <w:start w:val="1"/>
      <w:numFmt w:val="decimal"/>
      <w:suff w:val="nothing"/>
      <w:lvlText w:val="%1."/>
      <w:lvlJc w:val="left"/>
      <w:pPr>
        <w:ind w:left="0" w:firstLine="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2E1E"/>
    <w:rsid w:val="000404C9"/>
    <w:rsid w:val="00093733"/>
    <w:rsid w:val="00097BC7"/>
    <w:rsid w:val="00143727"/>
    <w:rsid w:val="0015298D"/>
    <w:rsid w:val="00156B46"/>
    <w:rsid w:val="001607F1"/>
    <w:rsid w:val="001801F1"/>
    <w:rsid w:val="001B0382"/>
    <w:rsid w:val="001C3105"/>
    <w:rsid w:val="001C7E11"/>
    <w:rsid w:val="001E0B48"/>
    <w:rsid w:val="002271E7"/>
    <w:rsid w:val="00271170"/>
    <w:rsid w:val="00281D97"/>
    <w:rsid w:val="002A593C"/>
    <w:rsid w:val="002C44C1"/>
    <w:rsid w:val="003215D5"/>
    <w:rsid w:val="0036418B"/>
    <w:rsid w:val="00371537"/>
    <w:rsid w:val="00371BC1"/>
    <w:rsid w:val="0039019B"/>
    <w:rsid w:val="003904C4"/>
    <w:rsid w:val="003A459F"/>
    <w:rsid w:val="004344EA"/>
    <w:rsid w:val="00473647"/>
    <w:rsid w:val="005066C1"/>
    <w:rsid w:val="005E41FA"/>
    <w:rsid w:val="006176BF"/>
    <w:rsid w:val="00623AFA"/>
    <w:rsid w:val="00682A16"/>
    <w:rsid w:val="006B144A"/>
    <w:rsid w:val="006C738E"/>
    <w:rsid w:val="00735B0F"/>
    <w:rsid w:val="007E22E2"/>
    <w:rsid w:val="008238DA"/>
    <w:rsid w:val="008C7A2E"/>
    <w:rsid w:val="00941822"/>
    <w:rsid w:val="009A2E1E"/>
    <w:rsid w:val="009C0C4B"/>
    <w:rsid w:val="00A03D13"/>
    <w:rsid w:val="00A4180B"/>
    <w:rsid w:val="00A74FBF"/>
    <w:rsid w:val="00AB74DB"/>
    <w:rsid w:val="00BC0F21"/>
    <w:rsid w:val="00BC6233"/>
    <w:rsid w:val="00BF6B5B"/>
    <w:rsid w:val="00C82B3D"/>
    <w:rsid w:val="00D16214"/>
    <w:rsid w:val="00DD2CA3"/>
    <w:rsid w:val="00DD501B"/>
    <w:rsid w:val="00DF5D6B"/>
    <w:rsid w:val="00EA1842"/>
    <w:rsid w:val="00ED04AF"/>
    <w:rsid w:val="00EE327C"/>
    <w:rsid w:val="00EF42B6"/>
    <w:rsid w:val="00F2592D"/>
    <w:rsid w:val="00F81320"/>
    <w:rsid w:val="00F91E6C"/>
    <w:rsid w:val="00FE0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E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E1E"/>
    <w:rPr>
      <w:sz w:val="18"/>
      <w:szCs w:val="18"/>
    </w:rPr>
  </w:style>
  <w:style w:type="paragraph" w:styleId="a4">
    <w:name w:val="footer"/>
    <w:basedOn w:val="a"/>
    <w:link w:val="Char0"/>
    <w:uiPriority w:val="99"/>
    <w:unhideWhenUsed/>
    <w:rsid w:val="009A2E1E"/>
    <w:pPr>
      <w:tabs>
        <w:tab w:val="center" w:pos="4153"/>
        <w:tab w:val="right" w:pos="8306"/>
      </w:tabs>
      <w:snapToGrid w:val="0"/>
      <w:jc w:val="left"/>
    </w:pPr>
    <w:rPr>
      <w:sz w:val="18"/>
      <w:szCs w:val="18"/>
    </w:rPr>
  </w:style>
  <w:style w:type="character" w:customStyle="1" w:styleId="Char0">
    <w:name w:val="页脚 Char"/>
    <w:basedOn w:val="a0"/>
    <w:link w:val="a4"/>
    <w:uiPriority w:val="99"/>
    <w:rsid w:val="009A2E1E"/>
    <w:rPr>
      <w:sz w:val="18"/>
      <w:szCs w:val="18"/>
    </w:rPr>
  </w:style>
  <w:style w:type="character" w:customStyle="1" w:styleId="ListParagraphChar">
    <w:name w:val="List Paragraph Char"/>
    <w:link w:val="1"/>
    <w:locked/>
    <w:rsid w:val="00EE327C"/>
    <w:rPr>
      <w:rFonts w:ascii="Calibri" w:hAnsi="Calibri"/>
      <w:sz w:val="22"/>
      <w:lang w:eastAsia="en-US"/>
    </w:rPr>
  </w:style>
  <w:style w:type="paragraph" w:customStyle="1" w:styleId="1">
    <w:name w:val="列出段落1"/>
    <w:basedOn w:val="a"/>
    <w:link w:val="ListParagraphChar"/>
    <w:rsid w:val="00EE327C"/>
    <w:pPr>
      <w:widowControl/>
      <w:ind w:left="720" w:firstLine="360"/>
      <w:jc w:val="left"/>
    </w:pPr>
    <w:rPr>
      <w:rFonts w:ascii="Calibri" w:hAnsi="Calibri"/>
      <w:sz w:val="22"/>
      <w:lang w:eastAsia="en-US"/>
    </w:rPr>
  </w:style>
</w:styles>
</file>

<file path=word/webSettings.xml><?xml version="1.0" encoding="utf-8"?>
<w:webSettings xmlns:r="http://schemas.openxmlformats.org/officeDocument/2006/relationships" xmlns:w="http://schemas.openxmlformats.org/wordprocessingml/2006/main">
  <w:divs>
    <w:div w:id="421143230">
      <w:bodyDiv w:val="1"/>
      <w:marLeft w:val="0"/>
      <w:marRight w:val="0"/>
      <w:marTop w:val="0"/>
      <w:marBottom w:val="0"/>
      <w:divBdr>
        <w:top w:val="none" w:sz="0" w:space="0" w:color="auto"/>
        <w:left w:val="none" w:sz="0" w:space="0" w:color="auto"/>
        <w:bottom w:val="none" w:sz="0" w:space="0" w:color="auto"/>
        <w:right w:val="none" w:sz="0" w:space="0" w:color="auto"/>
      </w:divBdr>
    </w:div>
    <w:div w:id="75212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A3FF5-7E72-42EF-BF00-5BCDEAED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347</Words>
  <Characters>1979</Characters>
  <Application>Microsoft Office Word</Application>
  <DocSecurity>0</DocSecurity>
  <Lines>16</Lines>
  <Paragraphs>4</Paragraphs>
  <ScaleCrop>false</ScaleCrop>
  <Company>Sky123.Org</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114</cp:revision>
  <cp:lastPrinted>2022-10-10T01:40:00Z</cp:lastPrinted>
  <dcterms:created xsi:type="dcterms:W3CDTF">2022-05-05T03:52:00Z</dcterms:created>
  <dcterms:modified xsi:type="dcterms:W3CDTF">2022-10-10T02:29:00Z</dcterms:modified>
</cp:coreProperties>
</file>