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921" w:rsidRPr="004975CB" w:rsidRDefault="00F71921" w:rsidP="00F71921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000000" w:themeColor="text1"/>
          <w:spacing w:val="-2"/>
          <w:kern w:val="0"/>
          <w:sz w:val="30"/>
          <w:szCs w:val="30"/>
        </w:rPr>
      </w:pPr>
      <w:r w:rsidRPr="004975CB">
        <w:rPr>
          <w:rFonts w:ascii="宋体" w:hAnsi="宋体" w:hint="eastAsia"/>
          <w:b/>
          <w:color w:val="000000" w:themeColor="text1"/>
          <w:spacing w:val="-2"/>
          <w:kern w:val="0"/>
          <w:sz w:val="30"/>
          <w:szCs w:val="30"/>
        </w:rPr>
        <w:t>某医院医疗设备采购项目技术和商务要求</w:t>
      </w:r>
    </w:p>
    <w:p w:rsidR="00F71921" w:rsidRPr="004975CB" w:rsidRDefault="00F71921" w:rsidP="00F71921">
      <w:pPr>
        <w:adjustRightInd w:val="0"/>
        <w:snapToGrid w:val="0"/>
        <w:spacing w:line="360" w:lineRule="auto"/>
        <w:jc w:val="center"/>
        <w:rPr>
          <w:rFonts w:ascii="宋体" w:hAnsi="宋体" w:hint="eastAsia"/>
          <w:b/>
          <w:color w:val="000000" w:themeColor="text1"/>
          <w:spacing w:val="-2"/>
          <w:kern w:val="0"/>
          <w:sz w:val="30"/>
          <w:szCs w:val="30"/>
        </w:rPr>
      </w:pPr>
      <w:r w:rsidRPr="004975CB">
        <w:rPr>
          <w:rFonts w:ascii="宋体" w:hAnsi="宋体" w:hint="eastAsia"/>
          <w:b/>
          <w:color w:val="000000" w:themeColor="text1"/>
          <w:spacing w:val="-2"/>
          <w:kern w:val="0"/>
          <w:sz w:val="30"/>
          <w:szCs w:val="30"/>
        </w:rPr>
        <w:t>第 一 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82"/>
      </w:tblGrid>
      <w:tr w:rsidR="004975CB" w:rsidRPr="006336AA" w:rsidTr="007D5B23">
        <w:trPr>
          <w:trHeight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设备名称： 强脉冲光与激光系统（干眼）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购置台件：1台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一、参数及性能要求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1.要求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1.1 主机类型：</w:t>
            </w:r>
            <w:r w:rsidR="007D5B23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原装进口主机，</w:t>
            </w: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提供三类产品注册证，产品注册证的适应症范围必须明确注明干眼症治疗，主机无耗材产品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1.2 OPT脉冲技术：主机具备OPT优化脉冲技术（Optimal Pulse Technology）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1.3 适用范围：干眼症诊断及治疗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1.4 具备干眼诊断所需要各项数据的图像采集单元和分析软件，其中图像采集单元由光源、单反相机和控制系统。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2.技术参数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 光源：IPL 强脉冲光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 治疗光波长：（500～1000）nm之间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 能量密度：（15～35） J/cm²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2.4 脉宽：（6～20）</w:t>
            </w:r>
            <w:proofErr w:type="spellStart"/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ms</w:t>
            </w:r>
            <w:proofErr w:type="spellEnd"/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2.5 脉冲延迟范围：（5～100）</w:t>
            </w:r>
            <w:proofErr w:type="spellStart"/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ms</w:t>
            </w:r>
            <w:proofErr w:type="spellEnd"/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，并以不少于0.5ms为单位逐级可调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2.6 脉冲方式：单脉冲，双脉冲，三脉冲不同脉冲模式选择。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2.7 频率：可达到1HZ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2.8 光斑：15*35mm，10*15mm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2.9 冷却方式：蓝宝石冷却光导晶体，持续接触式冷却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2.10 多种滤光片选择 515nm，560nm，590nm，615nm，640nm，690nm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2.11 相关治疗技术：提供最优化和安全的脉冲治疗，在保护表皮同时封闭异常毛细血管，阻止炎症传播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2.12 提供：FDA认证</w:t>
            </w:r>
            <w:r w:rsidR="007D5B23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证书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2.13 激光安全防护镜：按照EN207要求的防护等级标准配置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2.14 可自动对焦完成测量，无需操作主机。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2.15 报告一键查看:各检查项目完成即自动生成报告，无需刻意选择和保存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二、选配与消耗品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1、提供耗材清单及报价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2、提供标准配置清单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三、售后服务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1、兰州有维修技术人员，配件供应充足；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2、免费质保2年。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3、培训：现场对使用及维修人员进行技术培训。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4、维修响应时间≤24小时。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336AA" w:rsidRPr="006336AA" w:rsidRDefault="006336AA" w:rsidP="006336AA">
            <w:pPr>
              <w:widowControl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5、售后服务支持：国内具有专业超净维修中心，可进行激光腔内维修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四、付款方式</w:t>
            </w:r>
          </w:p>
        </w:tc>
      </w:tr>
      <w:tr w:rsidR="004975CB" w:rsidRPr="006336AA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36AA" w:rsidRPr="006336AA" w:rsidRDefault="006336AA" w:rsidP="006336AA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6336AA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验收合格后分期付款。</w:t>
            </w:r>
          </w:p>
        </w:tc>
      </w:tr>
    </w:tbl>
    <w:p w:rsidR="007D5B23" w:rsidRPr="004975CB" w:rsidRDefault="007D5B23" w:rsidP="00F71921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000000" w:themeColor="text1"/>
          <w:kern w:val="0"/>
          <w:sz w:val="30"/>
          <w:szCs w:val="30"/>
        </w:rPr>
      </w:pPr>
    </w:p>
    <w:p w:rsidR="006336AA" w:rsidRPr="004975CB" w:rsidRDefault="007D5B23" w:rsidP="00F71921">
      <w:pPr>
        <w:adjustRightInd w:val="0"/>
        <w:snapToGrid w:val="0"/>
        <w:spacing w:line="360" w:lineRule="auto"/>
        <w:jc w:val="center"/>
        <w:rPr>
          <w:rFonts w:ascii="宋体" w:hAnsi="宋体" w:hint="eastAsia"/>
          <w:b/>
          <w:color w:val="000000" w:themeColor="text1"/>
          <w:kern w:val="0"/>
          <w:sz w:val="30"/>
          <w:szCs w:val="30"/>
        </w:rPr>
      </w:pPr>
      <w:r w:rsidRPr="004975CB">
        <w:rPr>
          <w:rFonts w:ascii="宋体" w:hAnsi="宋体"/>
          <w:b/>
          <w:color w:val="000000" w:themeColor="text1"/>
          <w:kern w:val="0"/>
          <w:sz w:val="30"/>
          <w:szCs w:val="30"/>
        </w:rPr>
        <w:lastRenderedPageBreak/>
        <w:t>第</w:t>
      </w:r>
      <w:r w:rsidRPr="004975CB">
        <w:rPr>
          <w:rFonts w:ascii="宋体" w:hAnsi="宋体" w:hint="eastAsia"/>
          <w:b/>
          <w:color w:val="000000" w:themeColor="text1"/>
          <w:kern w:val="0"/>
          <w:sz w:val="30"/>
          <w:szCs w:val="30"/>
        </w:rPr>
        <w:t xml:space="preserve"> </w:t>
      </w:r>
      <w:r w:rsidRPr="004975CB">
        <w:rPr>
          <w:rFonts w:ascii="宋体" w:hAnsi="宋体"/>
          <w:b/>
          <w:color w:val="000000" w:themeColor="text1"/>
          <w:kern w:val="0"/>
          <w:sz w:val="30"/>
          <w:szCs w:val="30"/>
        </w:rPr>
        <w:t>二</w:t>
      </w:r>
      <w:r w:rsidRPr="004975CB">
        <w:rPr>
          <w:rFonts w:ascii="宋体" w:hAnsi="宋体" w:hint="eastAsia"/>
          <w:b/>
          <w:color w:val="000000" w:themeColor="text1"/>
          <w:kern w:val="0"/>
          <w:sz w:val="30"/>
          <w:szCs w:val="30"/>
        </w:rPr>
        <w:t xml:space="preserve"> </w:t>
      </w:r>
      <w:r w:rsidRPr="004975CB">
        <w:rPr>
          <w:rFonts w:ascii="宋体" w:hAnsi="宋体"/>
          <w:b/>
          <w:color w:val="000000" w:themeColor="text1"/>
          <w:kern w:val="0"/>
          <w:sz w:val="30"/>
          <w:szCs w:val="30"/>
        </w:rPr>
        <w:t>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82"/>
      </w:tblGrid>
      <w:tr w:rsidR="004975CB" w:rsidRPr="007D5B23" w:rsidTr="007D5B23">
        <w:trPr>
          <w:trHeight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设备名称：视觉功能分析仪（屈光分析仪）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购置台件：1套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一、参数及性能要求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1.要求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1.1 设备用途：门诊视光检查、角膜屈光术前及术后评估，白内障术前及术后评估、高端IOL手术个体化指导及选择。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1.2 功能：全自动验光仪(多区域)测量，波前像差测量，角膜地形图测量，瞳孔直径测量 ，角膜直径测量，角膜曲率测量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 xml:space="preserve">1.3 机器搭配设计方式：设备主机内置电脑和热敏打印机，可实现报告的快捷打印功能 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1.4 软件功能:原厂专用的分析软件，可升级软件。提供定制化报告单。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1.5 主机显示器：设备主机内置10英尺及以上显示器，方便操作和阅览报告。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2.技术参数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2.1 技术规格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2.1.1 数据采集方式：全自动，半自动，手动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2.1.2 像差测量原理：自动客观验光法（动态检影镜）或光线追踪技术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2.1.3 可提供测量参数：像差RMS值，MFT函数值，PSF函数值，SR值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2.1.4 像差分离显示：可现实角膜，眼内，全眼数据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2.1.5 视轴偏心测量:提供Kappa角与Alpha角测量数据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2.1.6 视觉质量分析量化视觉功能评估，提供双眼视觉质量分析报告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2.2 数据测量范围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2.2.1 瞳孔测量范围:（2～8）mm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2.2.2 角膜地形图测量环数≥30环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2.2.3 角膜曲率半径:（5～10）mm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2.2.4 角膜地形图测量范围:（0～8）mm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2.2.5 电脑验光球镜:-20D 至 +20D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2.2.6 电脑验光柱镜:-12D 至 +12D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2.3 波前像差测量参数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2.3.1 调制传递函数（MTF）:各种像差的MTF函数均能显示，不同瞳孔大小状态下的MTF函数均能显示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2.3.2 点扩散函数（PSF）:各种像差的PSF函数均能显示，不同瞳孔大小状态下的PSF函数均能显示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2.3.3 具有后照法影像（Retro模式）:进行后照法观察晶体状况，人工晶体位置，结合角膜曲率能判断晶体轴位状况。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2.3.4 波前像差均方根（RMS）:各种像差的RMS均能显示，不同瞳孔大小状态下的RMS均能显示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2.3.5 斯泰尔比值（SR）:各种像差的SR均能显示，不同瞳孔大小状态下的SR均能显示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2.3.6 像差数据:提供不少于像差8阶、44项数据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2.4 手术规划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2.4.1 指导人工晶体选择:非球面晶体，多焦点晶体，</w:t>
            </w:r>
            <w:proofErr w:type="spellStart"/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Toric</w:t>
            </w:r>
            <w:proofErr w:type="spellEnd"/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晶体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lastRenderedPageBreak/>
              <w:t>2.4.2 模拟手术视觉效果:可模拟戴镜前、戴镜后视觉效果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二、选配与消耗品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1、提供耗材清单及报价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2、提供标准配置清单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三、售后服务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1、兰州有维修技术人员，配件供应充足。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2、免费质保2年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3、培训：现场对使用及维修人员进行技术培训。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4、维修响应时间≤24小时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四、付款方式</w:t>
            </w:r>
          </w:p>
        </w:tc>
      </w:tr>
      <w:tr w:rsidR="004975CB" w:rsidRPr="007D5B23" w:rsidTr="007D5B23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验收合格后分期付款。</w:t>
            </w:r>
          </w:p>
        </w:tc>
      </w:tr>
    </w:tbl>
    <w:p w:rsidR="007D5B23" w:rsidRPr="004975CB" w:rsidRDefault="007D5B23" w:rsidP="00F71921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000000" w:themeColor="text1"/>
          <w:kern w:val="0"/>
          <w:sz w:val="30"/>
          <w:szCs w:val="30"/>
        </w:rPr>
      </w:pPr>
    </w:p>
    <w:p w:rsidR="007D5B23" w:rsidRPr="004975CB" w:rsidRDefault="007D5B23">
      <w:pPr>
        <w:widowControl/>
        <w:jc w:val="left"/>
        <w:rPr>
          <w:color w:val="000000" w:themeColor="text1"/>
        </w:rPr>
      </w:pPr>
      <w:r w:rsidRPr="004975CB">
        <w:rPr>
          <w:color w:val="000000" w:themeColor="text1"/>
        </w:rPr>
        <w:br w:type="page"/>
      </w:r>
    </w:p>
    <w:p w:rsidR="00F97F49" w:rsidRPr="004975CB" w:rsidRDefault="007D5B23" w:rsidP="007D5B23">
      <w:pPr>
        <w:adjustRightInd w:val="0"/>
        <w:snapToGrid w:val="0"/>
        <w:spacing w:line="360" w:lineRule="auto"/>
        <w:jc w:val="center"/>
        <w:rPr>
          <w:rFonts w:ascii="宋体" w:hAnsi="宋体" w:hint="eastAsia"/>
          <w:b/>
          <w:color w:val="000000" w:themeColor="text1"/>
          <w:kern w:val="0"/>
          <w:sz w:val="30"/>
          <w:szCs w:val="30"/>
        </w:rPr>
      </w:pPr>
      <w:r w:rsidRPr="004975CB">
        <w:rPr>
          <w:rFonts w:ascii="宋体" w:hAnsi="宋体"/>
          <w:b/>
          <w:color w:val="000000" w:themeColor="text1"/>
          <w:kern w:val="0"/>
          <w:sz w:val="30"/>
          <w:szCs w:val="30"/>
        </w:rPr>
        <w:lastRenderedPageBreak/>
        <w:t>第</w:t>
      </w:r>
      <w:r w:rsidRPr="004975CB">
        <w:rPr>
          <w:rFonts w:ascii="宋体" w:hAnsi="宋体" w:hint="eastAsia"/>
          <w:b/>
          <w:color w:val="000000" w:themeColor="text1"/>
          <w:kern w:val="0"/>
          <w:sz w:val="30"/>
          <w:szCs w:val="30"/>
        </w:rPr>
        <w:t xml:space="preserve"> </w:t>
      </w:r>
      <w:r w:rsidRPr="004975CB">
        <w:rPr>
          <w:rFonts w:ascii="宋体" w:hAnsi="宋体"/>
          <w:b/>
          <w:color w:val="000000" w:themeColor="text1"/>
          <w:kern w:val="0"/>
          <w:sz w:val="30"/>
          <w:szCs w:val="30"/>
        </w:rPr>
        <w:t>三</w:t>
      </w:r>
      <w:r w:rsidRPr="004975CB">
        <w:rPr>
          <w:rFonts w:ascii="宋体" w:hAnsi="宋体" w:hint="eastAsia"/>
          <w:b/>
          <w:color w:val="000000" w:themeColor="text1"/>
          <w:kern w:val="0"/>
          <w:sz w:val="30"/>
          <w:szCs w:val="30"/>
        </w:rPr>
        <w:t xml:space="preserve"> </w:t>
      </w:r>
      <w:r w:rsidRPr="004975CB">
        <w:rPr>
          <w:rFonts w:ascii="宋体" w:hAnsi="宋体"/>
          <w:b/>
          <w:color w:val="000000" w:themeColor="text1"/>
          <w:kern w:val="0"/>
          <w:sz w:val="30"/>
          <w:szCs w:val="30"/>
        </w:rPr>
        <w:t>包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882"/>
      </w:tblGrid>
      <w:tr w:rsidR="004975CB" w:rsidRPr="007D5B23" w:rsidTr="004975CB">
        <w:trPr>
          <w:trHeight w:val="28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设备名称：前列腺电切镜系统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购置台件：1套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一、参数及性能要求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1.配置要求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1.1 设备符合CE或FDA标准，适用于泌尿外科前列腺电切、妇科宫腔电切等手术。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1.2 摄像系统：超高清数字摄像主机1台、电切镜专用摄像头1个。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1.3 冷光源：LED冷光源或氙灯冷光源1台。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1.4 电切镜：高清电切镜1根，可高温高压消毒，可连续进出水冲洗对流、要求与等离子主机为同一厂家产品。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1.5 电切镜用外鞘2根（24Fr、26Fr设置进、出水通道和控制开关）。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1.6 配套内管鞘管鞘2根（22Fr、24Fr  可360°旋转）。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1.7 等离子电切镜用被动式操作器2把（被动式，新型人体工程学被动式工作手件）。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1.8 闭孔鞘芯2支。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1.9 冲洗接头2个[加配2个膀胱冲洗器（ALICK）]。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1.10 内鞘进水接头2个。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1.11 专用双极电极（双极环状电极）10支（大环或粗环可选，电极符合国家标准要求即医疗器械管理分类为Ⅲ类的医疗产品，要求与等离子主机为同一厂家生产产品，单环状自带正负极，电极与导线一体式双极电极）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1.12 专用双极电凝1台。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1.13 高清医用监视器1台。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1.14 医用台车1台。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1.15 电切镜消毒盒：4个。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2.技术参数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2.1 摄像系统主机功能要求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2.1.1 3晶</w:t>
            </w:r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全高清摄像系统采用物理分辨率不低于200万像素的图像传感器，逐行扫描输出≥1920(H)×1080 (V)像素。</w:t>
            </w: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4975CB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2.1.2 水平解晰度 ≥1000 TVL、垂直分辨率≥1000TVL, 最小照度≤3lx，灵敏度F11 standard(2000lx)，白平衡AWB(自动白平衡)、MANUAL(手动)，增益控制AUTO（自动增益控制）、MANUAL(手动)，曝光控制调装置。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4975C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2.1.3</w:t>
            </w:r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 xml:space="preserve">  </w:t>
            </w: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3按</w:t>
            </w:r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 xml:space="preserve">按键动作控制键可编≥6个程序功能，≥5种不同用途内窥镜组合，≥2.5倍数码变焦和冻结功能，输出信号：2×DVI-D or HDMI、2×数字HD-SDI、输出：1×Y. </w:t>
            </w:r>
            <w:proofErr w:type="spellStart"/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Pb.Pr</w:t>
            </w:r>
            <w:proofErr w:type="spellEnd"/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/RGB RG、2×S-video on Mini-Din4、2×复合视频，180°旋转功能，使用PS/2、USB等键盘的定义文本可在屏幕上显示。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4975C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2.1.4外围设备控制：2×围可控外围设备，通过连接器连接打印机及录音机。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4975C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2.1.5 视频录像：自带USB接口，支持普通U盘和高速U盘的录像及拍照。</w:t>
            </w: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br/>
            </w:r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PC 通讯：通过串行数据接口（RS-232C或RS485等）”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2.2 冷光源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2.2.1 输出功率：</w:t>
            </w:r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（</w:t>
            </w:r>
            <w:r w:rsidR="004975CB"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0</w:t>
            </w:r>
            <w:r w:rsidR="004975CB" w:rsidRPr="004975CB">
              <w:rPr>
                <w:rFonts w:ascii="Cambria Math" w:eastAsiaTheme="minorEastAsia" w:hAnsi="Cambria Math" w:cs="Cambria Math"/>
                <w:color w:val="000000" w:themeColor="text1"/>
                <w:kern w:val="0"/>
                <w:sz w:val="24"/>
              </w:rPr>
              <w:t>∼</w:t>
            </w:r>
            <w:r w:rsidR="004975CB"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120</w:t>
            </w:r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）</w:t>
            </w:r>
            <w:r w:rsidR="004975CB"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W</w:t>
            </w: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2.2.2 灯泡寿命：</w:t>
            </w:r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≥50000小时</w:t>
            </w: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2.2.3 亮度 ：≥580000lx。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2.2.4 调光方式：按键，PWM(可设置多种工作曲线)。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lastRenderedPageBreak/>
              <w:t>2.2.5 高传导性导光束，可高压消毒。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2.2.6 自动检测和控制温度。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2.3 电切镜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4975C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2.3.1 具有等离子双极电切和电凝的手术功能。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4975CB" w:rsidP="004975C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2.3.2</w:t>
            </w:r>
            <w:r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 xml:space="preserve"> </w:t>
            </w:r>
            <w:r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额定输出频率</w:t>
            </w:r>
            <w:r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 xml:space="preserve"> 370kHz</w:t>
            </w:r>
            <w:r w:rsidRPr="004975CB">
              <w:rPr>
                <w:rFonts w:ascii="Cambria Math" w:eastAsiaTheme="minorEastAsia" w:hAnsi="Cambria Math" w:cs="Cambria Math"/>
                <w:color w:val="000000" w:themeColor="text1"/>
                <w:kern w:val="0"/>
                <w:sz w:val="24"/>
              </w:rPr>
              <w:t>∼</w:t>
            </w:r>
            <w:r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400kHz</w:t>
            </w:r>
            <w:r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，</w:t>
            </w:r>
            <w:r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5</w:t>
            </w:r>
            <w:r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种切割模式下额定负载</w:t>
            </w:r>
            <w:r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150Ω±10Ω,</w:t>
            </w:r>
            <w:r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最大输出功率</w:t>
            </w:r>
            <w:r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200W±40W</w:t>
            </w:r>
            <w:r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，凝血模式下额定负载</w:t>
            </w:r>
            <w:r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100Ω±10Ω</w:t>
            </w:r>
            <w:r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最大输出功率</w:t>
            </w:r>
            <w:r w:rsidRPr="004975CB"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  <w:t>100W±20W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2.3.3 工作状态显示为LCD液晶彩屏显示，≥5.6吋，多界面可同时显示：动态阻抗、电极状态和切凝的模式、功率等图形、字母和数字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2.3.4 具有自动识别不同代码(不同功能)双极电极的功能，并自动设定切割模式或凝固模式输出的默认功率，无需手调，并可增减与显示。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2.3.5 符合高频手术设备安全要求GB9706.4-2009,符合内窥镜设备专用安全要求GB9706.19-2000。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4975CB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2.3.6</w:t>
            </w:r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具有超负荷保护装置，当遇到过载时停止输出同时屏幕具有过载提示</w:t>
            </w: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2.3.7 具有凝血模式或切割模式手术时帮助判定组织效应的阻抗条图显示。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2.3.8 具有电极安装状态显示（未接上电极时显示闪烁）。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2.3.9 可使用大环和粗环及梨形电极的有效功能。具有电切镜模式生理盐水环境下组织切割与凝血功能；腹腔镜手术模式下腹腔镜手术和开放手术双极电凝功能。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2.4 电切镜消毒盒</w:t>
            </w: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：1个，尺寸(450*300*100mm)±5%。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2.5 监视器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2.5.1 全高清显示，显示面带防水防尘保护层，平面触式控制开关，自动检索输入信号模式并自动锁定显示。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2.5.2 尺寸</w:t>
            </w:r>
            <w:r w:rsidR="004975CB" w:rsidRPr="004975CB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≥</w:t>
            </w: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23英寸。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2.5.3 分辨率：≥1920x1080、比例：16:9。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2.5.4 输入接口：VGA、SDI、S- VIDEO、</w:t>
            </w:r>
            <w:proofErr w:type="spellStart"/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YPbPr</w:t>
            </w:r>
            <w:proofErr w:type="spellEnd"/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 xml:space="preserve"> 、RGB 、DVI 、VIDEO、YC，输出接口：SDI、S- VIDEO、</w:t>
            </w:r>
            <w:proofErr w:type="spellStart"/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YPbPr</w:t>
            </w:r>
            <w:proofErr w:type="spellEnd"/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 xml:space="preserve"> </w:t>
            </w:r>
            <w:bookmarkStart w:id="0" w:name="_GoBack"/>
            <w:bookmarkEnd w:id="0"/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、RGB 、VIDEO。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2.6 台车</w:t>
            </w: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：带万向支架及万向车轮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二、选配与消耗品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1、提供耗材清单及报价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2、提供标准配置清单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三、售后服务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1、西北地区有常驻维修机构和技术人员，配件供应充足。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2、免费质保≥2年。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3、培训：现场对使用及维修人员进行技术培训。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4、维修响应时间≤24小时。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b/>
                <w:bCs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b/>
                <w:bCs/>
                <w:color w:val="000000" w:themeColor="text1"/>
                <w:kern w:val="0"/>
                <w:sz w:val="24"/>
              </w:rPr>
              <w:t>四、付款方式</w:t>
            </w:r>
          </w:p>
        </w:tc>
      </w:tr>
      <w:tr w:rsidR="004975CB" w:rsidRPr="007D5B23" w:rsidTr="004975CB">
        <w:trPr>
          <w:trHeight w:val="284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5B23" w:rsidRPr="007D5B23" w:rsidRDefault="007D5B23" w:rsidP="007D5B23">
            <w:pPr>
              <w:widowControl/>
              <w:jc w:val="left"/>
              <w:rPr>
                <w:rFonts w:asciiTheme="minorEastAsia" w:eastAsiaTheme="minorEastAsia" w:hAnsiTheme="minorEastAsia" w:cs="宋体"/>
                <w:color w:val="000000" w:themeColor="text1"/>
                <w:kern w:val="0"/>
                <w:sz w:val="24"/>
              </w:rPr>
            </w:pPr>
            <w:r w:rsidRPr="007D5B23">
              <w:rPr>
                <w:rFonts w:asciiTheme="minorEastAsia" w:eastAsiaTheme="minorEastAsia" w:hAnsiTheme="minorEastAsia" w:cs="宋体" w:hint="eastAsia"/>
                <w:color w:val="000000" w:themeColor="text1"/>
                <w:kern w:val="0"/>
                <w:sz w:val="24"/>
              </w:rPr>
              <w:t>验收合格后分期付款。</w:t>
            </w:r>
          </w:p>
        </w:tc>
      </w:tr>
    </w:tbl>
    <w:p w:rsidR="007D5B23" w:rsidRPr="004975CB" w:rsidRDefault="007D5B23" w:rsidP="007D5B23">
      <w:pPr>
        <w:adjustRightInd w:val="0"/>
        <w:snapToGrid w:val="0"/>
        <w:spacing w:line="360" w:lineRule="auto"/>
        <w:jc w:val="center"/>
        <w:rPr>
          <w:rFonts w:ascii="宋体" w:hAnsi="宋体"/>
          <w:b/>
          <w:color w:val="000000" w:themeColor="text1"/>
          <w:kern w:val="0"/>
          <w:sz w:val="30"/>
          <w:szCs w:val="30"/>
        </w:rPr>
      </w:pPr>
    </w:p>
    <w:sectPr w:rsidR="007D5B23" w:rsidRPr="004975CB" w:rsidSect="00F71921">
      <w:pgSz w:w="11906" w:h="16838"/>
      <w:pgMar w:top="1440" w:right="144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5D4" w:rsidRDefault="00E125D4" w:rsidP="00F71921">
      <w:r>
        <w:separator/>
      </w:r>
    </w:p>
  </w:endnote>
  <w:endnote w:type="continuationSeparator" w:id="0">
    <w:p w:rsidR="00E125D4" w:rsidRDefault="00E125D4" w:rsidP="00F71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5D4" w:rsidRDefault="00E125D4" w:rsidP="00F71921">
      <w:r>
        <w:separator/>
      </w:r>
    </w:p>
  </w:footnote>
  <w:footnote w:type="continuationSeparator" w:id="0">
    <w:p w:rsidR="00E125D4" w:rsidRDefault="00E125D4" w:rsidP="00F71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DA2991"/>
    <w:multiLevelType w:val="multilevel"/>
    <w:tmpl w:val="39DA2991"/>
    <w:lvl w:ilvl="0">
      <w:start w:val="1"/>
      <w:numFmt w:val="chineseCountingThousand"/>
      <w:suff w:val="nothing"/>
      <w:lvlText w:val="%1、"/>
      <w:lvlJc w:val="left"/>
      <w:pPr>
        <w:ind w:left="13" w:firstLine="555"/>
      </w:pPr>
      <w:rPr>
        <w:rFonts w:cs="Times New Roman"/>
        <w:b w:val="0"/>
      </w:rPr>
    </w:lvl>
    <w:lvl w:ilvl="1">
      <w:start w:val="1"/>
      <w:numFmt w:val="japaneseCounting"/>
      <w:lvlText w:val="%2、"/>
      <w:lvlJc w:val="left"/>
      <w:pPr>
        <w:ind w:left="1701" w:hanging="7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21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241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ind w:left="2661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081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501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ind w:left="3921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41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mirrorMargin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FCF"/>
    <w:rsid w:val="00207FCF"/>
    <w:rsid w:val="004975CB"/>
    <w:rsid w:val="006336AA"/>
    <w:rsid w:val="007D5B23"/>
    <w:rsid w:val="00E125D4"/>
    <w:rsid w:val="00F71921"/>
    <w:rsid w:val="00F9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1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9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921"/>
    <w:rPr>
      <w:sz w:val="18"/>
      <w:szCs w:val="18"/>
    </w:rPr>
  </w:style>
  <w:style w:type="character" w:customStyle="1" w:styleId="ListParagraphChar">
    <w:name w:val="List Paragraph Char"/>
    <w:link w:val="1"/>
    <w:qFormat/>
    <w:locked/>
    <w:rsid w:val="00F71921"/>
    <w:rPr>
      <w:rFonts w:ascii="Calibri" w:hAnsi="Calibri"/>
      <w:szCs w:val="24"/>
    </w:rPr>
  </w:style>
  <w:style w:type="paragraph" w:customStyle="1" w:styleId="1">
    <w:name w:val="列出段落1"/>
    <w:basedOn w:val="a"/>
    <w:link w:val="ListParagraphChar"/>
    <w:qFormat/>
    <w:rsid w:val="00F71921"/>
    <w:pPr>
      <w:ind w:firstLineChars="200" w:firstLine="420"/>
    </w:pPr>
    <w:rPr>
      <w:rFonts w:ascii="Calibri" w:eastAsiaTheme="minorEastAsia" w:hAnsi="Calibri" w:cstheme="minorBidi"/>
    </w:rPr>
  </w:style>
  <w:style w:type="table" w:customStyle="1" w:styleId="TableNormal">
    <w:name w:val="Table Normal"/>
    <w:uiPriority w:val="2"/>
    <w:semiHidden/>
    <w:unhideWhenUsed/>
    <w:qFormat/>
    <w:rsid w:val="00F71921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719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7192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719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71921"/>
    <w:rPr>
      <w:sz w:val="18"/>
      <w:szCs w:val="18"/>
    </w:rPr>
  </w:style>
  <w:style w:type="character" w:customStyle="1" w:styleId="ListParagraphChar">
    <w:name w:val="List Paragraph Char"/>
    <w:link w:val="1"/>
    <w:qFormat/>
    <w:locked/>
    <w:rsid w:val="00F71921"/>
    <w:rPr>
      <w:rFonts w:ascii="Calibri" w:hAnsi="Calibri"/>
      <w:szCs w:val="24"/>
    </w:rPr>
  </w:style>
  <w:style w:type="paragraph" w:customStyle="1" w:styleId="1">
    <w:name w:val="列出段落1"/>
    <w:basedOn w:val="a"/>
    <w:link w:val="ListParagraphChar"/>
    <w:qFormat/>
    <w:rsid w:val="00F71921"/>
    <w:pPr>
      <w:ind w:firstLineChars="200" w:firstLine="420"/>
    </w:pPr>
    <w:rPr>
      <w:rFonts w:ascii="Calibri" w:eastAsiaTheme="minorEastAsia" w:hAnsi="Calibri" w:cstheme="minorBidi"/>
    </w:rPr>
  </w:style>
  <w:style w:type="table" w:customStyle="1" w:styleId="TableNormal">
    <w:name w:val="Table Normal"/>
    <w:uiPriority w:val="2"/>
    <w:semiHidden/>
    <w:unhideWhenUsed/>
    <w:qFormat/>
    <w:rsid w:val="00F71921"/>
    <w:pPr>
      <w:widowControl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620</Words>
  <Characters>3534</Characters>
  <Application>Microsoft Office Word</Application>
  <DocSecurity>0</DocSecurity>
  <Lines>29</Lines>
  <Paragraphs>8</Paragraphs>
  <ScaleCrop>false</ScaleCrop>
  <Company>ZBZX</Company>
  <LinksUpToDate>false</LinksUpToDate>
  <CharactersWithSpaces>4146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李潇</cp:lastModifiedBy>
  <cp:revision>4</cp:revision>
  <dcterms:created xsi:type="dcterms:W3CDTF">2022-11-23T09:23:00Z</dcterms:created>
  <dcterms:modified xsi:type="dcterms:W3CDTF">2023-03-14T02:22:00Z</dcterms:modified>
</cp:coreProperties>
</file>