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before="240" w:beforeLines="100" w:after="240" w:afterLines="100" w:line="579" w:lineRule="exact"/>
        <w:ind w:firstLine="880" w:firstLineChars="20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甘肃某部第二批书香环境建设项目（定西）技术要求</w:t>
      </w:r>
    </w:p>
    <w:p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700"/>
        <w:jc w:val="both"/>
        <w:rPr>
          <w:rFonts w:ascii="Times New Roman" w:hAnsi="Times New Roman" w:eastAsia="黑体"/>
          <w:sz w:val="28"/>
          <w:szCs w:val="28"/>
          <w:lang w:eastAsia="zh-CN"/>
        </w:rPr>
      </w:pPr>
      <w:bookmarkStart w:id="0" w:name="_Toc285612596"/>
      <w:r>
        <w:rPr>
          <w:rFonts w:hint="eastAsia" w:ascii="Times New Roman" w:hAnsi="Times New Roman" w:eastAsia="黑体"/>
          <w:sz w:val="28"/>
          <w:szCs w:val="28"/>
          <w:lang w:eastAsia="zh-CN"/>
        </w:rPr>
        <w:t>货物一览表</w:t>
      </w:r>
      <w:bookmarkEnd w:id="0"/>
    </w:p>
    <w:tbl>
      <w:tblPr>
        <w:tblStyle w:val="7"/>
        <w:tblW w:w="14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28"/>
        <w:gridCol w:w="1095"/>
        <w:gridCol w:w="9427"/>
        <w:gridCol w:w="831"/>
        <w:gridCol w:w="872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物质名称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质量技术标准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943" w:type="dxa"/>
            <w:gridSpan w:val="6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1号图书室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人脸识别智能门禁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1.读者进入时启动人脸识别功能；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2.双目摄像头动态体检测防伪功能；夜间红外、RGB双补光；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3.支持选配外接门禁刷卡器、身份证阅读器、测温模块；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4.支持设备本地存储历史纪录；人脸库为5000张以上；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5.支持局域网使用部署方式；屏幕内容配置；识别距离配置。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▲设备系统应能对门的开启方式，卡（人脸、密码）的各种使用权限进行组合设置，实现不同场景的权限管理。设备支持普通卡、来宾卡、黑名单卡等多种类型用户权限设置；支持按时间分时段管控门禁权限，支持反潜回（防尾随）功能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7.▲设备支持局域网、互联网环境的网络通信；支持被4个客户端软件同时实时监听，在线状态下实时上传比对记录。（公安部检验报告证明）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8.▲设备支持多种人脸注册方式：设备本地人脸注册；本地存储设备导入人员信息；远程中心下发人脸。（公安部检验报告证明）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9.▲设备支持中心下发黑名单信息；支持本地黑名单信息比对；支持本地黑名单事件报警功能，报警信息能上传至平台。（公安部检验报告证明）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10.▲设备支持不开启白光补光灯实现人脸识别；设备支持软硬件低功耗管理模式，设备运行功耗低于8w。（公安部检验报告证明）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▲设备具备以下报警功能：当连续多次在目标信息识读设备或管理/控制部分上实施错误操作时；当未使用授权的钥匙而强行通过出入口时；未经正常操作而使出入口开启时；出入口开启时间超过设定值时；设备被拆除时；胁迫卡和胁迫码；黑名单卡刷卡时；设备具有2路入侵探测接口，能联动报警输出。支持未授权人员刷人脸时，设备能支持抓拍图片并实时上报平台预警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12.▲适用温度范围：-40℃至80℃；恒温湿热+40℃±2℃、RH93%、48h。（公安部检验报告证明）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13.▲设备应具有CE、FCC、CB、公安部检测报告。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14.对接图书馆大数据系统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15.▲具有指纹/蓝牙模块扩展接口；具有外接身份证模块扩展接口（公安部检验报告证明）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图书电子标签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工作频率：902-928Mhz；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支持协议：ISO18000-6C标准；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产品规格：127*5mm；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天线规格：120*3cm；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频率：902-928MHZ；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内存容量：≥1024 Bits；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有效使用寿命：≥10年；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有效使用次数：≥10万次。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功能描述：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非接触式地读取和写入；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具有很好的防冲突性能；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采用防冲突的运算法则；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具有多标签识别功能；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采编耗材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条码、书标、保护膜、扫码枪等采编设备及耗材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图书自助借还终端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1、系统通过SIP2或NCIP接口与图书管理集成管理系统对接，实现图书查询、读者认证、借阅、归还等功能；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2、可快速、非接触式的识别粘贴在图书上的RFID标签，并显示图书题名、责任者、图书流通状态、应还日期等信息；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3、支持一次多本图书的借还操作，最多可操作20本；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4、可实现远程诊断、监控、远程开关机待功能；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5、可嵌入式安装读者识别模块，如高频卡、IC卡、条码卡、身份证等；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6、具有语音播放功能，对读者操作进行详细指引，音量可调节；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7、读者操作完成后，可手动或自动打印凭条，凭条打印内容可定制。可显示包括馆别、读者姓名、操作日期、题名、应归日期、注意事项等信息；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8、提供读者隐私保护，对读者姓名、证件号、在借数量、超期数量等信息，可设置为显示、部分隐藏或隐藏；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9、提供准确的工作统计，如借还数量、借还类型、成功与否的借还统计等；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10、系统具有断网还书功能，网络恢复后自动恢复服务，并上传数据；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11、提供定时开关机功能；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12、工作频率：902-928Mhz；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13、电容触摸显示屏≥21.5寸，分辨率：≥1920×1080；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14、机身尺寸≥600*400*1549mm（长*宽*高）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15、主机：I5四代，内存：DDR3 4G，硬盘：SSD 128G，静音设计；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16、读者操作平台采用钢化玻璃面板，耐磨、防刮伤、易清理；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17、借还成功率：＞99.5%（按一次10本）；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18、功能模块：可选双目摄像头、小票打印机、身份证阅读器、IC卡阅读器、二维码扫描等；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19、通讯接口：USB、TCP/IP、WIFI（选配）；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20、设备材质：钣金+铝合金+钢化玻璃；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21、电源供电：AC220±10%；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22、工作温度：-10℃～50℃；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23、存储温度：-20℃～60℃；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▲自助借还书机功能里的人脸识别功能，须提供带有CMA、CNAS标志的检测报告（试验报告）复印件。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▲自助借还书机具有智能语音功能，须提供带有CMA、CNAS标志的检测报告（试验报告）复印件。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▲为保证设备稳定性正常使用无故障，须通过MTBF平均无故障时间≥11000小时的检测报告，提供带有CMA、CNAS标志的检测报告（试验报告）复印件。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▲为保证耐腐蚀性，产品须符合GB/T 2423.17-2008≥72h盐雾测试，提供带有CMA、CNAS标志的检测报告（试验报告）复印件。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监控摄像头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1.功能需求：上三级单位可及时查看本级图书室情况。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2.400 万 1/3" CMOS ICR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3.支持 Smart 侦测：越界侦测、区域入侵侦测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最低照度: 彩色：0.005 Lux @（F1.2，AGC ON），黑白：0 Lux with IR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4.宽动态: 120 dB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5.补光灯类型: 红外灯，补光距离: 最远可达 30 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6.红外波长范围: 850 nm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7.防补光过曝: 支持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8.最大图像尺寸: 2560 × 1440，视频压缩标准: 主码流：H.265/H.264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9.启动及工作温湿度: -30 ℃~60 ℃，湿度小于 95%（无凝结）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10.供电方式: DC：12 V ± 25%，支持防反接保护；PoE：802.3af，Class 3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11.电流及功耗: DC：12 V，0.41 A，最大功耗：5 W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12.电源接口类型: Ø5.5 mm 圆口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13.IP66防水防尘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图书馆大数据展示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 屏幕尺寸≥ 65 寸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 屏幕比例 16:9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 伴音输出功率 8Ω15W x2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 配置内存 2G  DDR3，存储 16G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5. 系统：win 系统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 HDMI*2(侧）TOUCH USB*1（侧）VGA*1（侧）VGA AUDIO IN*1(侧) YPBPR*1(侧）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AV*1(侧）TV*1（侧）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电子阅读机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壁挂式显示器，触摸屏≥32英寸，屏幕分辨率≥1920*1080；不低于Android 5.1操作系统；存储≥4G+ 32G；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系统及软件部分：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1.大数据实时更新、统计与展示，图书、音视频数据、用户数据、下载排行等数据实时显示；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2.管理功能：支持logo、屏保自定义；支持机构公告、通知发布功能等；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3▲支持手机APP下载阅读：电子图书和有声图书均支持APP扫描二维码下载阅读，下载后可永久保存，无借阅期限制；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4.支持微信扫码在线阅读；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5.▲个人移动书房：读者在数字借阅机处下载APP首次认证后，可在脱离数字借阅机的地方免费下载阅读云端服务器资源；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资源部分：电子图书内容须包括经典名著、名家小说、畅销书籍、教育读物、文艺精粹、经管理财等各类大众社科类图书。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 内置资源：机器内置电子图书不少于5000种，有声图书不少于1000集；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2.▲云端资源：机器联网后，云端电子图书不少于100000本，有声图书不少于30000集；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3.资源年更新：电子图书更新不少于20000种，有声图书不少于3000集。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4.▲资源版权保障：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电子书：数据资源须为正版授权资源，投标人须提供至少5位作家版权授权协议复印件；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听书：数据资源须为正版授权资源，投标人须提供至少2位名家版权授权协议复印件；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电子阅读器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1.屏幕尺寸 ≥10.4英寸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2.运行内存≥ 6GB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3.存储容量≥128GB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4.前置摄像头≥800万像素，后置摄像头≥1300万像素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5.分辨率≥2000 x 1200 像素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6.CPU核数≥八核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7.屏幕类型：IPS触摸屏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8.蓝牙 蓝牙5.1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9.娱乐功能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10.操作系统为国产系统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蓝牙耳机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蓝牙版本：v5.0；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蓝牙协议：A2DP\AVRCP\HFP；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有效距离：≥10m；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工作时长：≥50小时；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频响范围：20Hz-20kHz；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系统对接服务费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接入上级图书馆管理系统和大数据服务系统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进户门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1.玻璃门，12MM钢化玻璃外加不锈钢附件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2.与人脸识别、指纹打卡门禁系统相关联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樘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吊顶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1.顶部找平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2.轻钢龙骨支架D38主骨，D50副骨，二级石膏吊顶，石膏板尺寸是1200mm*2400mm。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33.17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墙面处理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1.白色乳胶漆三遍，一底两面；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2.满刮2mm厚面层腻子找平，打磨平整；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3.满刮3mm厚底基防裂腻子分遍找平；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79.84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复合地板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1.3mm厚防潮膜铺装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2.10mm强化复合木地板铺装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3.原有地面找平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33.17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木质踢脚线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复合踢脚线,尺寸:100mm*2400mm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23.14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书柜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尺寸：1200MM*2400MM*350MM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4组生态颗粒板柜体，层板厚度18mm，支撑板厚度25mm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11.52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听书墙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1.设计，亚克力广告字，亚克力封套。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2.版权在线听书二维码。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3.蓝牙耳机两副。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4.生态颗粒板柜体，台桌，层板厚度18mm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水吧柜体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1.尺寸：1500MM*1100MM*350MM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2.生态颗粒板柜体，层板厚度18mm，支撑板厚度25mm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1.窗户尺寸：6390MM*2800MM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2.布艺窗帘带纱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3.双层罗马杆及轨道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成品窗套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1.洞口尺寸：1730MM*1700MM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2.复合板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13.82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装饰灯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成品灯具安装，LED射灯3寸，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灯条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成品灯具安装，LED灯条；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艺术灯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成品灯具安装，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线路安装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1.25mmPVC穿线管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2.4平方线穿管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3.墙、地面开槽暗敷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4.六类国标网线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5.网络、监控、广播等系统布置线路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6.墙、地面开槽暗敷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7.包含开关，插座安装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39.92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阅读区书桌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 尺寸：3200MM*1200MM*750MM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2.环保三聚氰胺板材≥25MM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3.钢结构稳定支撑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休闲区沙发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 尺寸：600MM*600MM*720MM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 实木结构           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3.海绵厚度≥140MM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4.亚麻或者PU面料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休闲区桌子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1.尺寸：600MM*400MM*350MM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2.实木定做                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阅读区座椅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1.实木材质，带扶手。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2.成品座椅，软包坐垫。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3、尺寸：总高度：780MM-950MM靠背宽度:450mm-600mm,座面长度:400mm-550mm,座面宽度:450mm-550mm，座面高度:400mm-450mm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听书墙座椅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1.实木材质，带扶手。高脚椅。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2.成品座椅，软包坐垫。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3、尺寸：总高度：780MM-950MM靠背宽度:450mm-600mm,座面长度:400mm-550mm,座面宽度:450mm-550mm，座面高度:400mm-450mm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馆员工作站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1.尺寸：1800MM*900MM*350MM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2.生态颗粒板柜体，层板厚度18mm，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室内墙面宣传画面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PVC材质，UV雕刻,单幅尺寸：730（±100）mm*415（±100）mm.按需配置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咖啡机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机身材料：不锈钢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水箱容量≥1.2升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频率≥50赫兹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电压220伏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品牌饮水机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智慧双屏数显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动态操作显示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冰、温、热三用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精准温控器40℃—100℃多段控温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绿植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绿萝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盆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朗读亭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框体1个(含灯光、玻璃、钣金框体、监控系统)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1.尺寸：≥W1560*D1560*H2660；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2.五金板材不小于1.5 mm钢板、设备玻璃厚度不小于8 mm(钢化）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3.钢化隔音玻璃：高强度钢化隔音玻璃，保证安全的同时高效隔音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4.内部灯箱采用面部补光设计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5.电器箱内部标配空气开关，整机内部内设独立氛围灯、门禁、朗读亭内照明灯开关。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主机：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1.CPU：CortexA53四核处理器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2.频率：最高2.0GHZ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3.内存：2G/DDR3 1866MHZ，存储：16G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4.操作系统：android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5.音频：MPEG1/2/3、AAC、APE、FLAC、OGGAPP)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显示器：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1.21.5 寸触摸屏，屏幕比例：16：9，对比度：1000:1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2.工作温度：0~50℃ 工作湿度：10% -- 80%RH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3.32 寸电视机1台，液晶屏级别：A+防爆屏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4.功率：45~95W 工作电压：220V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1.工作电压：220V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2.循环风量：400m³/H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3.噪声：≤38dB（A）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4.电流：4.2A，防触电保护类别：I 级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5.防水级别：IPX0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全机空气消毒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高保真耳机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▲产品认证要求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1.为保证产品的耐用性及安全性及保障使用者的人身安全：要求所提供的朗读亭产品MTBF平均无故障时间大于8000小时；（提供检测报告）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2.要求提供所投朗读亭外观的防尘；防风8级以上，防水等级IP65及以上（提供检测报告）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▲集唱歌亭、朗读亭、学习室、健心房、展示场五大功能于一体；（提供证明文件）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▲提供朗读亭整机检测报告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943" w:type="dxa"/>
            <w:gridSpan w:val="6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2号图书室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人脸识别智能门禁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1.读者进入时启动人脸识别功能；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2.双目摄像头动态体检测防伪功能；夜间红外、RGB双补光；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3.支持选配外接门禁刷卡器、身份证阅读器、测温模块；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4.支持设备本地存储历史纪录；人脸库为5000张以上；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5.支持局域网使用部署方式；屏幕内容配置；识别距离配置。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▲设备系统应能对门的开启方式，卡（人脸、密码）的各种使用权限进行组合设置，实现不同场景的权限管理。设备支持普通卡、来宾卡、黑名单卡等多种类型用户权限设置；支持按时间分时段管控门禁权限，支持反潜回（防尾随）功能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7.▲设备支持局域网、互联网环境的网络通信；支持被4个客户端软件同时实时监听，在线状态下实时上传比对记录。（公安部检验报告证明）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8.▲设备支持多种人脸注册方式：设备本地人脸注册；本地存储设备导入人员信息；远程中心下发人脸。（公安部检验报告证明）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9.▲设备支持中心下发黑名单信息；支持本地黑名单信息比对；支持本地黑名单事件报警功能，报警信息能上传至平台。（公安部检验报告证明）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10.设备支持不开启白光补光灯实现人脸识别；设备支持软硬件低功耗管理模式，设备运行功耗低于8w。（公安部检验报告证明）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▲设备具备以下报警功能：当连续多次在目标信息识读设备或管理/控制部分上实施错误操作时；当未使用授权的钥匙而强行通过出入口时；未经正常操作而使出入口开启时；出入口开启时间超过设定值时；设备被拆除时；胁迫卡和胁迫码；黑名单卡刷卡时；设备具有2路入侵探测接口，能联动报警输出。支持未授权人员刷人脸时，设备能支持抓拍图片并实时上报平台预警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12.▲适用温度范围：-40℃至80℃；恒温湿热+40℃±2℃、RH93%、48h。（公安部检验报告证明）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13.▲设备应具有CE、FCC、CB、公安部检测报告。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14.对接图书馆大数据系统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15.▲具有指纹/蓝牙模块扩展接口；具有外接身份证模块扩展接口（公安部 检验报告证明）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图书电子标签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工作频率：13.56MHz；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支持协议：ISO15693和ISO18000-3标准；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产品规格：50*50mm；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天线规格：45*45cm；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频率：13.56MHZ。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内存容量：≥1024 Bits；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有效使用寿命：≥10年；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有效使用次数：≥10万次。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功能描述：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非接触式地读取和写入；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具有很好的防冲突性能；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采用防冲突的运算法则；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具有多标签识别功能；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采编耗材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条码、书标、保护膜、扫码枪等采编设备及耗材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图书自助借还终端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系统通过SIP2或NCIP接口与图书管理集成管理系统对接，实现图书查询、读者认证、借阅、归还等功能；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2、可快速、非接触式的识别粘贴在图书上的RFID标签，并显示图书题名、责任者、图书流通状态、应还日期等信息；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3、支持一次多本图书的借还操作，最多可操作20本；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4、可实现远程诊断、监控、远程开关机待功能；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5、可嵌入式安装读者识别模块，如高频卡、IC卡、条码卡、身份证等；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6、具有语音播放功能，对读者操作进行详细指引，音量可调节；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7、读者操作完成后，可手动或自动打印凭条，凭条打印内容可定制。可显示包括馆别、读者姓名、操作日期、题名、应归日期、注意事项等信息；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8、提供读者隐私保护，对读者姓名、证件号、在借数量、超期数量等信息，可设置为显示、部分隐藏或隐藏；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9、提供准确的工作统计，如借还数量、借还类型、成功与否的借还统计等；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10、系统具有断网还书功能，网络恢复后自动恢复服务，并上传数据；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11、提供定时开关机功能；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12、工作频率：902-928Mhz；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13、电容触摸显示屏≥21.5寸，分辨率：≥1920×1080；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14、机身尺寸≥600*400*1549mm（长*宽*高）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15、主机：I5四代，内存：DDR3 4G，硬盘：SSD 128G，静音设计；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16、读者操作平台采用钢化玻璃面板，耐磨、防刮伤、易清理；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17、借还成功率：＞99.5%（按一次10本）；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18、功能模块：可选双目摄像头、小票打印机、身份证阅读器、IC卡阅读器、二维码扫描等；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19、通讯接口：USB、TCP/IP、WIFI（选配）；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20、设备材质：钣金+铝合金+钢化玻璃；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21、电源供电：AC220±10%；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22、工作温度：-10℃～50℃；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23、存储温度：-20℃～60℃；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▲自助借还书机功能里的人脸识别功能，须提供带有CMA、CNAS标志的检测报告（试验报告）复印件。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▲自助借还书机具有智能语音功能，须提供带有CMA、CNAS标志的检测报告（试验报告）复印件。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▲为保证设备稳定性正常使用无故障，须通过MTBF平均无故障时间≥11000小时的检测报告，提供带有CMA、CNAS标志的检测报告（试验报告）复印件。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▲为保证耐腐蚀性，产品须符合GB/T 2423.17-2008≥72h盐雾测试，提供带有CMA、CNAS标志的检测报告（试验报告）复印件。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监控摄像头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1.功能需求：上三级单位可及时查看本级图书室情况。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2.400 万 1/3" CMOS ICR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3.支持 Smart 侦测：越界侦测、区域入侵侦测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最低照度: 彩色：0.005 Lux @（F1.2，AGC ON），黑白：0 Lux with IR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4.宽动态: 120 dB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5.补光灯类型: 红外灯，补光距离: 最远可达 30 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6.红外波长范围: 850 nm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7.防补光过曝: 支持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8.最大图像尺寸: 2560 × 1440，视频压缩标准: 主码流：H.265/H.264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9.启动及工作温湿度: -30 ℃~60 ℃，湿度小于 95%（无凝结）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10.供电方式: DC：12 V ± 25%，支持防反接保护；PoE：802.3af，Class 3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11.电流及功耗: DC：12 V，0.41 A，最大功耗：5 W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12.电源接口类型: Ø5.5 mm 圆口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13.IP66防水防尘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图书馆大数据展示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 屏幕尺寸≥ 65 寸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 屏幕比例 16:9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 伴音输出功率 8Ω15W x2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 配置内存 2G  DDR3，存储 16G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5. 系统：win 系统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 HDMI*2(侧）TOUCH USB*1（侧）VGA*1（侧）VGA AUDIO IN*1(侧) YPBPR*1(侧）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AV*1(侧）TV*1（侧）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电子阅读机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壁挂式显示器，触摸屏≥32英寸，屏幕分辨率≥1920*1080；不低于Android 5.1操作系统；存储≥4G+ 32G；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系统及软件部分：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1.大数据实时更新、统计与展示，图书、音视频数据、用户数据、下载排行等数据实时显示；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2.管理功能：支持logo、屏保自定义；支持机构公告、通知发布功能等；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3▲支持手机APP下载阅读：电子图书和有声图书均支持APP扫描二维码下载阅读，下载后可永久保存，无借阅期限制；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4.支持微信扫码在线阅读；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5.▲个人移动书房：读者在数字借阅机处下载APP首次认证后，可在脱离数字借阅机的地方免费下载阅读云端服务器资源；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资源部分：电子图书内容须包括经典名著、名家小说、畅销书籍、教育读物、文艺精粹、经管理财等各类大众社科类图书。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 内置资源：机器内置电子图书不少于5000种，有声图书不少于1000集；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2.▲云端资源：机器联网后，云端电子图书不少于100000本，有声图书不少于30000集；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3.资源年更新：电子图书更新不少于20000种，有声图书不少于3000集。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4.▲资源版权保障：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电子书：数据资源须为正版授权资源，投标人须提供至少5位作家版权授权协议复印件；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听书：数据资源须为正版授权资源，投标人须提供至少2位名家版权授权协议复印件；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电子阅读器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1.屏幕尺寸 ≥10.4英寸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2.运行内存≥ 6GB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3.存储容量≥128GB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4.前置摄像头≥800万像素，后置摄像头≥1300万像素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5.分辨率≥2000 x 1200 像素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6.CPU核数≥八核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7.屏幕类型：IPS触摸屏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8.蓝牙 蓝牙5.1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9.娱乐功能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10.操作系统为国产系统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蓝牙耳机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蓝牙版本：v5.0；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蓝牙协议：A2DP\AVRCP\HFP；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有效距离：≥10m；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工作时长：≥50小时；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频响范围：20Hz-20kHz；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系统对接服务费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接入上级图书馆管理系统和大数据服务系统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进户门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1.玻璃门，12MM钢化玻璃外加不锈钢附件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2.与人脸识别、指纹打卡门禁系统相关联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樘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吊顶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1.顶部找平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2.轻钢龙骨支架D38主骨，D50副骨，二级石膏吊顶，石膏板尺寸是1200mm*2400mm。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40.02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墙面处理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1.白色乳胶漆三遍，一底两面；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2.满刮2mm厚面层腻子找平，打磨平整；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3.满刮3mm厚底基防裂腻子分遍找平；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78.74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复合地板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1.3mm厚防潮膜铺装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2.10mm强化复合木地板铺装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3.原有地面找平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40.02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木质踢脚线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复合踢脚线,尺寸:100mm*2400mm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25.4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书柜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尺寸：1200MM*2400MM*350MM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4组生态颗粒板柜体，层板厚度18mm，支撑板厚度25mm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13.92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听书墙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1.设计，亚克力广告字，亚克力封套。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2.版权在线听书二维码。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3.蓝牙耳机两副。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4.生态颗粒板柜体，台桌，层板厚度18mm，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水吧柜体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1.尺寸：1500MM*1100MM*350MM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2.生态颗粒板柜体，层板厚度18mm，支撑板厚度25mm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1.窗户尺寸：6390MM*2800MM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2.布艺窗帘带纱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3.双层罗马杆及轨道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成品窗套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1.洞口尺寸：1730MM*1700MM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2.复合板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15.04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装饰灯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成品灯具安装，LED射灯3寸，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灯条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成品灯具安装，LED灯条；艺术灯一具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线路安装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1.25mmPVC穿线管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2.4平方线穿管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3.墙、地面开槽暗敷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4.25mmPVC穿线管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5.网络、监控、广播等系统布置线路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6.墙、地面开槽暗敷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7.包含开关，插座安装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39.92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阅读区书桌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1.尺寸：4000MM*900MM*780MM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2.实木颗粒板定做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休闲区桌子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1.尺寸：6390MM*400MM*350MM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2.实木颗粒板定做       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3.上表面软座垫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休闲区桌子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1.尺寸：600MM*400MM*350MM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2.实木定做                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阅读区座椅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1.实木材质，带扶手。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2.成品座椅，软包坐垫。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3、尺寸：总高度：780MM-950MM靠背宽度:450mm-600mm,座面长度:400mm-550mm,座面宽度:450mm-550mm，座面高度:400mm-450mm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听书墙座椅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1.实木材质，带扶手。高脚椅。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2.成品座椅，软包坐垫。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3、尺寸：总高度：780MM-950MM靠背宽度:450mm-600mm,座面长度:400mm-550mm,座面宽度:450mm-550mm，座面高度:400mm-450mm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馆员工作站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1.尺寸：1800MM*900MM*350MM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2.生态颗粒板柜体，层板厚度18mm，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室内墙面宣传画面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PVC材质，UV雕刻,单幅尺寸：730（±100）mm*415（±100）mm.按需配置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咖啡机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机身材料：不锈钢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水箱容量≥1.2升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频率≥50赫兹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电压220伏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品牌饮水机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智慧双屏数显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动态操作显示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冰、温、热三用 三出水口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精准温控器40℃—100℃多段控温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绿植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绿萝 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盆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943" w:type="dxa"/>
            <w:gridSpan w:val="6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3号图书室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人脸识别智能门禁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1.读者进入时启动人脸识别功能；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2.双目摄像头动态体检测防伪功能；夜间红外、RGB双补光；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3.支持选配外接门禁刷卡器、身份证阅读器、测温模块；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4.支持设备本地存储历史纪录；人脸库为5000张以上；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5.支持局域网使用部署方式；屏幕内容配置；识别距离配置。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▲设备系统应能对门的开启方式，卡（人脸、密码）的各种使用权限进行组合设置，实现不同场景的权限管理。设备支持普通卡、来宾卡、黑名单卡等多种类型用户权限设置；支持按时间分时段管控门禁权限，支持反潜回（防尾随）功能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7.▲设备支持局域网、互联网环境的网络通信；支持被4个客户端软件同时实时监听，在线状态下实时上传比对记录。（公安部检验报告证明）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8.▲设备支持多种人脸注册方式：设备本地人脸注册；本地存储设备导入人员信息；远程中心下发人脸。（公安部检验报告证明）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9.▲设备支持中心下发黑名单信息；支持本地黑名单信息比对；支持本地黑名单事件报警功能，报警信息能上传至平台。（公安部检验报告证明）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10.▲设备支持不开启白光补光灯实现人脸识别；设备支持软硬件低功耗管理模式，设备运行功耗低于8w。（公安部检验报告证明）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▲设备具备以下报警功能：当连续多次在目标信息识读设备或管理/控制部分上实施错误操作时；当未使用授权的钥匙而强行通过出入口时；未经正常操作而使出入口开启时；出入口开启时间超过设定值时；设备被拆除时；胁迫卡和胁迫码；黑名单卡刷卡时；设备具有2路入侵探测接口，能联动报警输出。支持未授权人员刷人脸时，设备能支持抓拍图片并实时上报平台预警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12.▲适用温度范围：-40℃至80℃；恒温湿热+40℃±2℃、RH93%、48h。（公安部检验报告证明）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13.▲设备应具有CE、FCC、CB、公安部检测报告。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14.对接图书馆大数据系统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15.▲具有指纹/蓝牙模块扩展接口；具有外接身份证模块扩展接口（公安部 检验报告证明）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图书电子标签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工作频率：13.56MHz；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支持协议：ISO15693和ISO18000-3标准；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产品规格：50*50mm；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天线规格：45*45cm；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频率：13.56MHZ。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内存容量：≥1024 Bits；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有效使用寿命：≥10年；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有效使用次数：≥10万次。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功能描述：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非接触式地读取和写入；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具有很好的防冲突性能；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采用防冲突的运算法则；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具有多标签识别功能；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采编耗材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条码、书标、保护膜、扫码枪等采编设备及耗材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图书自助借还终端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1、系统通过SIP2或NCIP接口与图书管理集成管理系统对接，实现图书查询、读者认证、借阅、归还等功能；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2、可快速、非接触式的识别粘贴在图书上的RFID标签，并显示图书题名、责任者、图书流通状态、应还日期等信息；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3、支持一次多本图书的借还操作，最多可操作20本；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4、可实现远程诊断、监控、远程开关机待功能；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5、可嵌入式安装读者识别模块，如高频卡、IC卡、条码卡、身份证等；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6、具有语音播放功能，对读者操作进行详细指引，音量可调节；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7、读者操作完成后，可手动或自动打印凭条，凭条打印内容可定制。可显示包括馆别、读者姓名、操作日期、题名、应归日期、注意事项等信息；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8、提供读者隐私保护，对读者姓名、证件号、在借数量、超期数量等信息，可设置为显示、部分隐藏或隐藏；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9、提供准确的工作统计，如借还数量、借还类型、成功与否的借还统计等；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10、系统具有断网还书功能，网络恢复后自动恢复服务，并上传数据；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11、提供定时开关机功能；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12、工作频率：902-928Mhz；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13、电容触摸显示屏≥21.5寸，分辨率：≥1920×1080；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14、机身尺寸≥600*400*1549mm（长*宽*高）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15、主机：I5四代，内存：DDR3 4G，硬盘：SSD 128G，静音设计；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16、读者操作平台采用钢化玻璃面板，耐磨、防刮伤、易清理；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17、借还成功率：＞99.5%（按一次10本）；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18、功能模块：可选双目摄像头、小票打印机、身份证阅读器、IC卡阅读器、二维码扫描等；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19、通讯接口：USB、TCP/IP、WIFI（选配）；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20、设备材质：钣金+铝合金+钢化玻璃；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21、电源供电：AC220±10%；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22、工作温度：-10℃～50℃；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23、存储温度：-20℃～60℃；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▲自助借还书机功能里的人脸识别功能，须提供带有CMA、CNAS标志的检测报告（试验报告）复印件。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▲自助借还书机具有智能语音功能，须提供带有CMA、CNAS标志的检测报告（试验报告）复印件。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▲为保证设备稳定性正常使用无故障，须通过MTBF平均无故障时间≥11000小时的检测报告，提供带有CMA、CNAS标志的检测报告（试验报告）复印件。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▲为保证耐腐蚀性，产品须符合GB/T 2423.17-2008≥72h盐雾测试，提供带有CMA、CNAS标志的检测报告（试验报告）复印件。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监控摄像头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1.功能需求：上三级单位可及时查看本级图书室情况。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2.400 万 1/3" CMOS ICR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3.支持 Smart 侦测：越界侦测、区域入侵侦测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最低照度: 彩色：0.005 Lux @（F1.2，AGC ON），黑白：0 Lux with IR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4.宽动态: 120 dB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5.补光灯类型: 红外灯，补光距离: 最远可达 30 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6.红外波长范围: 850 nm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7.防补光过曝: 支持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8.最大图像尺寸: 2560 × 1440，视频压缩标准: 主码流：H.265/H.264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9.启动及工作温湿度: -30 ℃~60 ℃，湿度小于 95%（无凝结）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10.供电方式: DC：12 V ± 25%，支持防反接保护；PoE：802.3af，Class 3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11.电流及功耗: DC：12 V，0.41 A，最大功耗：5 W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12.电源接口类型: Ø5.5 mm 圆口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13.IP66防水防尘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图书馆大数据展示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 屏幕尺寸≥ 65 寸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 屏幕比例 16:9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 伴音输出功率 8Ω15W x2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 配置内存 2G  DDR3，存储 16G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5. 系统：win 系统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 HDMI*2(侧）TOUCH USB*1（侧）VGA*1（侧）VGA AUDIO IN*1(侧) YPBPR*1(侧）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AV*1(侧）TV*1（侧）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电子阅读机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壁挂式显示器，触摸屏≥32英寸，屏幕分辨率≥1920*1080；不低于Android 5.1操作系统；存储≥4G+ 32G；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系统及软件部分：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1.大数据实时更新、统计与展示，图书、音视频数据、用户数据、下载排行等数据实时显示；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2.管理功能：支持logo、屏保自定义；支持机构公告、通知发布功能等；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3▲支持手机APP下载阅读：电子图书和有声图书均支持APP扫描二维码下载阅读，下载后可永久保存，无借阅期限制；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4.支持微信扫码在线阅读；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5.▲个人移动书房：读者在数字借阅机处下载APP首次认证后，可在脱离数字借阅机的地方免费下载阅读云端服务器资源；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资源部分：电子图书内容须包括经典名著、名家小说、畅销书籍、教育读物、文艺精粹、经管理财等各类大众社科类图书。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 内置资源：机器内置电子图书不少于5000种，有声图书不少于1000集；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2.▲云端资源：机器联网后，云端电子图书不少于100000本，有声图书不少于30000集；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3.资源年更新：电子图书更新不少于20000种，有声图书不少于3000集。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4.▲资源版权保障：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电子书：数据资源须为正版授权资源，投标人须提供至少5位作家版权授权协议复印件；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听书：数据资源须为正版授权资源，投标人须提供至少2位名家版权授权协议复印件；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电子阅读器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1.屏幕尺寸 ≥10.4英寸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2.运行内存≥ 6GB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3.存储容量≥128GB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4.前置摄像头≥800万像素，后置摄像头≥1300万像素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5.分辨率≥2000 x 1200 像素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6.CPU核数≥八核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7.屏幕类型：IPS触摸屏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8.蓝牙5.1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9.娱乐功能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10.操作系统为国产系统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蓝牙耳机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蓝牙版本：v5.0；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蓝牙协议：A2DP\AVRCP\HFP；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有效距离：≥10m；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工作时长：≥50小时；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频响范围：20Hz-20kHz；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系统对接服务费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接入上级图书馆管理系统和大数据服务系统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进户门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1.玻璃门，12MM钢化玻璃外加不锈钢附件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2.与人脸识别、指纹打卡门禁系统相关联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樘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吊顶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1.顶部找平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2.轻钢龙骨支架D38主骨，D50副骨，二级石膏吊顶，石膏板尺寸是1200mm*2400mm。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31.74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墙面处理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1.白色乳胶漆三遍，一底两面；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2.满刮2mm厚面层腻子找平，打磨平整；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3.满刮3mm厚底基防裂腻子分遍找平；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67.98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复合地板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1.3mm厚防潮膜铺装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2.10mm强化复合木地板铺装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3.原有地面找平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31.74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木质踢脚线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复合踢脚线,尺寸:100mm*2400mm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22.66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书柜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尺寸：1200MM*2400MM*350MM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4组生态颗粒板柜体，层板厚度18mm，支撑板厚度25mm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8.64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听书墙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1.设计，亚克力广告字，亚克力封套。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2.版权在线听书二维码。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3.蓝牙耳机两副。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4.生态颗粒板柜体，台桌，层板厚度18mm，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水吧柜体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1.尺寸：1200MM*800MM*500MM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2.生态颗粒板柜体，层板厚度18mm，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1.窗户尺寸：6390MM*2800MM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2.布艺窗帘带纱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3.双层罗马杆及轨道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成品窗套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1.洞口尺寸：1730MM*1700MM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2.复合板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24.28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装饰灯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成品灯具安装，LED射灯3寸，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灯带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成品灯具安装，LED灯带；艺术灯一具。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线路安装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1.25mmPVC穿线管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2.4平方线穿管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3.墙、地面开槽暗敷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4.25mmPVC穿线管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5.网络、监控、广播等系统布置线路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6.墙、地面开槽暗敷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7.包含开关，插座安装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39.92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阅读区书桌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1.尺寸：4000MM*900MM*780MM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2.实木颗粒板定做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休闲区桌子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1.尺寸：600MM*600MM*600MM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2.实木颗粒板定做       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3.上表面软座垫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休闲区桌子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1.尺寸：600MM*400MM*350MM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2.实木定做                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阅读区座椅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1.实木材质，带扶手。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2.成品座椅，软包坐垫。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3、尺寸：总高度：780MM-950MM靠背宽度:450mm-600mm,座面长度:400mm-550mm,座面宽度:450mm-550mm，座面高度:400mm-450mm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听书墙座椅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1.实木材质，带扶手。高脚椅。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2.成品座椅，软包坐垫。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3、尺寸：总高度：780MM-950MM靠背宽度:450mm-600mm,座面长度:400mm-550mm,座面宽度:450mm-550mm，座面高度:400mm-450mm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馆员工作站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1.尺寸：1800MM*900MM*350MM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2.生态颗粒板柜体，层板厚度18mm，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室内墙面宣传画面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PVC材质，UV雕刻,单幅尺寸：730（±100）mm*415（±100）mm.按需配置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咖啡机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机身材料：不锈钢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水箱容量≥1.2升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频率≥50赫兹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电压220伏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饮水机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品牌饮水机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智慧双屏数显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动态操作显示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冰、温、热三用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精准温控器40℃—100℃多段控温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绿植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绿萝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盆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9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套间门</w:t>
            </w:r>
          </w:p>
        </w:tc>
        <w:tc>
          <w:tcPr>
            <w:tcW w:w="942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1,定制套间木门，桥洞力学板，瓷白色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2.2000mm*900mm*300mm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合同签订90天内</w:t>
            </w:r>
          </w:p>
        </w:tc>
      </w:tr>
    </w:tbl>
    <w:p>
      <w:pPr>
        <w:pStyle w:val="10"/>
        <w:widowControl w:val="0"/>
        <w:autoSpaceDE w:val="0"/>
        <w:autoSpaceDN w:val="0"/>
        <w:adjustRightInd w:val="0"/>
        <w:spacing w:line="560" w:lineRule="exact"/>
        <w:ind w:left="713" w:firstLine="0"/>
        <w:jc w:val="both"/>
        <w:rPr>
          <w:rFonts w:ascii="Times New Roman" w:hAnsi="Times New Roman" w:eastAsia="黑体"/>
          <w:sz w:val="28"/>
          <w:szCs w:val="28"/>
          <w:lang w:eastAsia="zh-CN"/>
        </w:rPr>
      </w:pPr>
    </w:p>
    <w:p>
      <w:pPr>
        <w:pStyle w:val="10"/>
        <w:widowControl w:val="0"/>
        <w:autoSpaceDE w:val="0"/>
        <w:autoSpaceDN w:val="0"/>
        <w:adjustRightInd w:val="0"/>
        <w:spacing w:line="560" w:lineRule="exact"/>
        <w:ind w:left="713" w:firstLine="0"/>
        <w:jc w:val="both"/>
        <w:rPr>
          <w:rFonts w:ascii="Times New Roman" w:hAnsi="Times New Roman" w:eastAsia="黑体"/>
          <w:sz w:val="28"/>
          <w:szCs w:val="28"/>
          <w:lang w:eastAsia="zh-CN"/>
        </w:rPr>
      </w:pPr>
    </w:p>
    <w:p>
      <w:pPr>
        <w:pStyle w:val="10"/>
        <w:widowControl w:val="0"/>
        <w:autoSpaceDE w:val="0"/>
        <w:autoSpaceDN w:val="0"/>
        <w:adjustRightInd w:val="0"/>
        <w:spacing w:line="560" w:lineRule="exact"/>
        <w:ind w:left="0" w:firstLine="0"/>
        <w:jc w:val="both"/>
        <w:rPr>
          <w:rFonts w:ascii="Times New Roman" w:hAnsi="Times New Roman" w:eastAsia="黑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18" w:right="1418" w:bottom="1134" w:left="1418" w:header="851" w:footer="851" w:gutter="0"/>
          <w:cols w:space="720" w:num="1"/>
          <w:docGrid w:linePitch="388" w:charSpace="-1260"/>
        </w:sectPr>
      </w:pPr>
    </w:p>
    <w:p>
      <w:pPr>
        <w:pStyle w:val="10"/>
        <w:widowControl w:val="0"/>
        <w:autoSpaceDE w:val="0"/>
        <w:autoSpaceDN w:val="0"/>
        <w:adjustRightInd w:val="0"/>
        <w:spacing w:line="560" w:lineRule="exact"/>
        <w:ind w:left="713" w:firstLine="0"/>
        <w:jc w:val="both"/>
        <w:rPr>
          <w:rFonts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二</w:t>
      </w:r>
      <w:r>
        <w:rPr>
          <w:rFonts w:hint="eastAsia" w:ascii="Times New Roman" w:hAnsi="Times New Roman" w:eastAsia="黑体"/>
          <w:sz w:val="28"/>
          <w:szCs w:val="28"/>
        </w:rPr>
        <w:t>、商务要求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 xml:space="preserve"> 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zh-CN" w:eastAsia="zh-CN"/>
        </w:rPr>
        <w:t>★</w:t>
      </w:r>
      <w:r>
        <w:rPr>
          <w:rFonts w:hint="eastAsia" w:ascii="宋体" w:hAnsi="宋体" w:cs="宋体"/>
          <w:sz w:val="28"/>
          <w:szCs w:val="28"/>
          <w:lang w:eastAsia="zh-CN"/>
        </w:rPr>
        <w:t>（一）交货时间、地点与方式：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1.交货地点：甲方指定地点。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2.交货日期：合同签订之日起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90</w:t>
      </w:r>
      <w:r>
        <w:rPr>
          <w:rFonts w:hint="eastAsia" w:ascii="宋体" w:hAnsi="宋体" w:cs="宋体"/>
          <w:sz w:val="28"/>
          <w:szCs w:val="28"/>
          <w:lang w:eastAsia="zh-CN"/>
        </w:rPr>
        <w:t>天内全部交货并安装调试完毕。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3.交货方式：送至甲方指定地点并进行安装。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zh-CN" w:eastAsia="zh-CN"/>
        </w:rPr>
        <w:t>★</w:t>
      </w:r>
      <w:r>
        <w:rPr>
          <w:rFonts w:hint="eastAsia" w:ascii="宋体" w:hAnsi="宋体" w:cs="宋体"/>
          <w:sz w:val="28"/>
          <w:szCs w:val="28"/>
          <w:lang w:eastAsia="zh-CN"/>
        </w:rPr>
        <w:t>（二）售后服务：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sz w:val="28"/>
          <w:szCs w:val="28"/>
          <w:lang w:val="zh-CN" w:eastAsia="zh-CN"/>
        </w:rPr>
        <w:t>质量保证期：</w:t>
      </w:r>
      <w:r>
        <w:rPr>
          <w:rFonts w:hint="eastAsia" w:ascii="宋体" w:hAnsi="宋体" w:cs="宋体"/>
          <w:sz w:val="28"/>
          <w:szCs w:val="28"/>
          <w:lang w:eastAsia="zh-CN"/>
        </w:rPr>
        <w:t>自交货验收完毕之日算起，所有产品质保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12</w:t>
      </w:r>
      <w:r>
        <w:rPr>
          <w:rFonts w:hint="eastAsia" w:ascii="宋体" w:hAnsi="宋体" w:cs="宋体"/>
          <w:sz w:val="28"/>
          <w:szCs w:val="28"/>
          <w:lang w:eastAsia="zh-CN"/>
        </w:rPr>
        <w:t>个月。投标供应商对提供的货物在质保期内，因产品质量而导致的缺陷，必须免费提供包修、包换、包退服务，因此导致的损失采购单位有权向中标供应商追偿。超出质保期后，供应商应当提供上门维修服务，仅收取成本费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val="zh-CN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2.</w:t>
      </w:r>
      <w:r>
        <w:rPr>
          <w:rFonts w:hint="eastAsia" w:ascii="宋体" w:hAnsi="宋体" w:cs="宋体"/>
          <w:sz w:val="28"/>
          <w:szCs w:val="28"/>
          <w:lang w:val="zh-CN" w:eastAsia="zh-CN"/>
        </w:rPr>
        <w:t>投标供应商须承诺提供该货物的技术培训、技术支持和维修巡检服务，服务内容包括</w:t>
      </w:r>
      <w:r>
        <w:rPr>
          <w:rFonts w:hint="eastAsia" w:ascii="宋体" w:hAnsi="宋体" w:cs="宋体"/>
          <w:sz w:val="28"/>
          <w:szCs w:val="28"/>
          <w:u w:val="single"/>
          <w:lang w:val="zh-CN" w:eastAsia="zh-CN"/>
        </w:rPr>
        <w:t>使用技术培训、产品运行技术支持、定期维修维护和质量检查等</w:t>
      </w:r>
      <w:r>
        <w:rPr>
          <w:rFonts w:hint="eastAsia" w:ascii="宋体" w:hAnsi="宋体" w:cs="宋体"/>
          <w:sz w:val="28"/>
          <w:szCs w:val="28"/>
          <w:lang w:val="zh-CN" w:eastAsia="zh-CN"/>
        </w:rPr>
        <w:t>，并在投标文件中提供相应书面方案。根据项目情况，提供产品建档计划等。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val="zh-CN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3.</w:t>
      </w:r>
      <w:r>
        <w:rPr>
          <w:rFonts w:hint="eastAsia" w:ascii="宋体" w:hAnsi="宋体" w:cs="宋体"/>
          <w:sz w:val="28"/>
          <w:szCs w:val="28"/>
          <w:lang w:val="zh-CN" w:eastAsia="zh-CN"/>
        </w:rPr>
        <w:t>投标供应商须提供生命周期内零备件和消耗品清单，并明确供应周期和价格等优惠条件。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val="zh-CN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4.</w:t>
      </w:r>
      <w:r>
        <w:rPr>
          <w:rFonts w:hint="eastAsia" w:ascii="宋体" w:hAnsi="宋体" w:cs="宋体"/>
          <w:sz w:val="28"/>
          <w:szCs w:val="28"/>
          <w:lang w:val="zh-CN" w:eastAsia="zh-CN"/>
        </w:rPr>
        <w:t>投标供应商须承诺，对售后服务需求提供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60</w:t>
      </w:r>
      <w:r>
        <w:rPr>
          <w:rFonts w:hint="eastAsia" w:ascii="宋体" w:hAnsi="宋体" w:cs="宋体"/>
          <w:sz w:val="28"/>
          <w:szCs w:val="28"/>
          <w:lang w:eastAsia="zh-CN"/>
        </w:rPr>
        <w:t>分钟</w:t>
      </w:r>
      <w:r>
        <w:rPr>
          <w:rFonts w:hint="eastAsia" w:ascii="宋体" w:hAnsi="宋体" w:cs="宋体"/>
          <w:sz w:val="28"/>
          <w:szCs w:val="28"/>
          <w:lang w:val="zh-CN" w:eastAsia="zh-CN"/>
        </w:rPr>
        <w:t>响应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6</w:t>
      </w:r>
      <w:r>
        <w:rPr>
          <w:rFonts w:hint="eastAsia" w:ascii="宋体" w:hAnsi="宋体" w:cs="宋体"/>
          <w:sz w:val="28"/>
          <w:szCs w:val="28"/>
          <w:lang w:val="zh-CN" w:eastAsia="zh-CN"/>
        </w:rPr>
        <w:t>小时内到达现场实施维修。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12</w:t>
      </w:r>
      <w:r>
        <w:rPr>
          <w:rFonts w:hint="eastAsia" w:ascii="宋体" w:hAnsi="宋体" w:cs="宋体"/>
          <w:sz w:val="28"/>
          <w:szCs w:val="28"/>
          <w:lang w:eastAsia="zh-CN"/>
        </w:rPr>
        <w:t>小</w:t>
      </w:r>
      <w:r>
        <w:rPr>
          <w:rFonts w:hint="eastAsia" w:ascii="宋体" w:hAnsi="宋体" w:cs="宋体"/>
          <w:sz w:val="28"/>
          <w:szCs w:val="28"/>
          <w:lang w:val="zh-CN" w:eastAsia="zh-CN"/>
        </w:rPr>
        <w:t>时仍未排除故障、恢复正常运转的，由投标供应商提供同类型备品、备件等。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zh-CN" w:eastAsia="zh-CN"/>
        </w:rPr>
        <w:t>★</w:t>
      </w:r>
      <w:r>
        <w:rPr>
          <w:rFonts w:hint="eastAsia" w:ascii="宋体" w:hAnsi="宋体" w:cs="宋体"/>
          <w:sz w:val="28"/>
          <w:szCs w:val="28"/>
          <w:lang w:eastAsia="zh-CN"/>
        </w:rPr>
        <w:t>(三）专利权和保密要求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投标供应商应保证使用方在使用该货物或其任何一部分时，不受第三方侵权指控。同时，投标供应商不得向第三方泄露采购机构提供的技术文件等资料。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zh-CN" w:eastAsia="zh-CN"/>
        </w:rPr>
        <w:t>★</w:t>
      </w:r>
      <w:r>
        <w:rPr>
          <w:rFonts w:hint="eastAsia" w:ascii="宋体" w:hAnsi="宋体" w:cs="宋体"/>
          <w:sz w:val="28"/>
          <w:szCs w:val="28"/>
          <w:lang w:eastAsia="zh-CN"/>
        </w:rPr>
        <w:t>(四）付款及结算方式：</w:t>
      </w:r>
      <w:r>
        <w:rPr>
          <w:rFonts w:hint="eastAsia" w:ascii="宋体" w:hAnsi="宋体" w:cs="宋体"/>
          <w:sz w:val="28"/>
          <w:szCs w:val="28"/>
          <w:lang w:eastAsia="zh-CN"/>
        </w:rPr>
        <w:tab/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货物运达指定地点验收合格后，合同乙方向采购单位提交发运接收单、发票、验收报告等结算资料，采购单位在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90</w:t>
      </w:r>
      <w:r>
        <w:rPr>
          <w:rFonts w:hint="eastAsia" w:ascii="宋体" w:hAnsi="宋体" w:cs="宋体"/>
          <w:sz w:val="28"/>
          <w:szCs w:val="28"/>
          <w:lang w:eastAsia="zh-CN"/>
        </w:rPr>
        <w:t>天内再向乙方支付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95%</w:t>
      </w:r>
      <w:r>
        <w:rPr>
          <w:rFonts w:hint="eastAsia" w:ascii="宋体" w:hAnsi="宋体" w:cs="宋体"/>
          <w:sz w:val="28"/>
          <w:szCs w:val="28"/>
          <w:lang w:eastAsia="zh-CN"/>
        </w:rPr>
        <w:t>的货款。剩余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5%</w:t>
      </w:r>
      <w:r>
        <w:rPr>
          <w:rFonts w:hint="eastAsia" w:ascii="宋体" w:hAnsi="宋体" w:cs="宋体"/>
          <w:sz w:val="28"/>
          <w:szCs w:val="28"/>
          <w:lang w:eastAsia="zh-CN"/>
        </w:rPr>
        <w:t>作为质量保证金，质保期满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24个</w:t>
      </w:r>
      <w:r>
        <w:rPr>
          <w:rFonts w:hint="eastAsia" w:ascii="宋体" w:hAnsi="宋体" w:cs="宋体"/>
          <w:sz w:val="28"/>
          <w:szCs w:val="28"/>
          <w:lang w:eastAsia="zh-CN"/>
        </w:rPr>
        <w:t>月且无质量问题时全额无息退还。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zh-CN" w:eastAsia="zh-CN"/>
        </w:rPr>
        <w:t>★</w:t>
      </w:r>
      <w:r>
        <w:rPr>
          <w:rFonts w:hint="eastAsia" w:ascii="宋体" w:hAnsi="宋体" w:cs="宋体"/>
          <w:sz w:val="28"/>
          <w:szCs w:val="28"/>
          <w:lang w:eastAsia="zh-CN"/>
        </w:rPr>
        <w:t>（四）履约保证金</w:t>
      </w:r>
    </w:p>
    <w:p>
      <w:pPr>
        <w:pStyle w:val="10"/>
        <w:spacing w:line="560" w:lineRule="exact"/>
        <w:ind w:left="11" w:firstLine="560" w:firstLineChars="200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中标供应商签订采购合同前，须按合同金额的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5%</w:t>
      </w:r>
      <w:r>
        <w:rPr>
          <w:rFonts w:hint="eastAsia" w:ascii="宋体" w:hAnsi="宋体" w:cs="宋体"/>
          <w:sz w:val="28"/>
          <w:szCs w:val="28"/>
          <w:lang w:eastAsia="zh-CN"/>
        </w:rPr>
        <w:t>向采购单位提交履约保证金，合同履行货物验收合格后，采购单位退回履约保证金。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/>
      </w:rPr>
      <w:t>—</w:t>
    </w:r>
    <w:r>
      <w:rPr>
        <w:rFonts w:hint="eastAsia"/>
        <w:sz w:val="21"/>
        <w:szCs w:val="21"/>
      </w:rPr>
      <w:t xml:space="preserve"> 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/>
      </w:rPr>
      <w:t>—</w:t>
    </w:r>
    <w:r>
      <w:rPr>
        <w:rFonts w:hint="eastAsia"/>
        <w:sz w:val="21"/>
        <w:szCs w:val="21"/>
      </w:rPr>
      <w:t xml:space="preserve"> 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32</w:t>
    </w:r>
    <w:r>
      <w:rPr>
        <w:sz w:val="24"/>
        <w:szCs w:val="24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招标文件</w:t>
    </w:r>
    <w:r>
      <w:rPr>
        <w:rFonts w:ascii="楷体_GB2312" w:eastAsia="楷体_GB2312"/>
        <w:sz w:val="21"/>
        <w:szCs w:val="21"/>
      </w:rPr>
      <w:t xml:space="preserve">                            </w:t>
    </w:r>
    <w:r>
      <w:rPr>
        <w:rFonts w:hint="eastAsia" w:ascii="楷体_GB2312" w:eastAsia="楷体_GB2312"/>
        <w:sz w:val="21"/>
        <w:szCs w:val="21"/>
      </w:rPr>
      <w:t xml:space="preserve">   </w:t>
    </w:r>
    <w:r>
      <w:rPr>
        <w:rFonts w:ascii="楷体_GB2312" w:eastAsia="楷体_GB2312"/>
        <w:sz w:val="21"/>
        <w:szCs w:val="21"/>
      </w:rPr>
      <w:t xml:space="preserve">                         </w:t>
    </w:r>
    <w:r>
      <w:rPr>
        <w:rFonts w:hint="eastAsia" w:ascii="楷体_GB2312" w:eastAsia="楷体_GB2312"/>
        <w:sz w:val="21"/>
        <w:szCs w:val="21"/>
      </w:rPr>
      <w:t xml:space="preserve">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楷体_GB2312" w:eastAsia="楷体_GB2312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A2991"/>
    <w:multiLevelType w:val="multilevel"/>
    <w:tmpl w:val="39DA2991"/>
    <w:lvl w:ilvl="0" w:tentative="0">
      <w:start w:val="1"/>
      <w:numFmt w:val="chineseCountingThousand"/>
      <w:suff w:val="nothing"/>
      <w:lvlText w:val="%1、"/>
      <w:lvlJc w:val="left"/>
      <w:pPr>
        <w:ind w:left="13" w:firstLine="555"/>
      </w:pPr>
      <w:rPr>
        <w:rFonts w:hint="eastAsia" w:cs="Times New Roman"/>
        <w:b w:val="0"/>
      </w:rPr>
    </w:lvl>
    <w:lvl w:ilvl="1" w:tentative="0">
      <w:start w:val="1"/>
      <w:numFmt w:val="japaneseCounting"/>
      <w:lvlText w:val="%2、"/>
      <w:lvlJc w:val="left"/>
      <w:pPr>
        <w:ind w:left="1701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abstractNum w:abstractNumId="1">
    <w:nsid w:val="591AFBF8"/>
    <w:multiLevelType w:val="singleLevel"/>
    <w:tmpl w:val="591AFB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TU0NmQ4OWU1YTA0ODk1MGNlZWQwZTQyMDU1NDgifQ=="/>
  </w:docVars>
  <w:rsids>
    <w:rsidRoot w:val="008B6343"/>
    <w:rsid w:val="004A7EE7"/>
    <w:rsid w:val="00822D8E"/>
    <w:rsid w:val="008B6343"/>
    <w:rsid w:val="00B96523"/>
    <w:rsid w:val="00EA4378"/>
    <w:rsid w:val="142626EB"/>
    <w:rsid w:val="3EAE222C"/>
    <w:rsid w:val="41601281"/>
    <w:rsid w:val="4DD40C51"/>
    <w:rsid w:val="516B577D"/>
    <w:rsid w:val="57856138"/>
    <w:rsid w:val="6C450788"/>
    <w:rsid w:val="72436759"/>
    <w:rsid w:val="79905B80"/>
    <w:rsid w:val="7A191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0"/>
    </w:pPr>
    <w:rPr>
      <w:spacing w:val="12"/>
    </w:r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qFormat/>
    <w:uiPriority w:val="0"/>
    <w:rPr>
      <w:rFonts w:cs="Times New Roman"/>
    </w:rPr>
  </w:style>
  <w:style w:type="paragraph" w:customStyle="1" w:styleId="10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12577</Words>
  <Characters>15812</Characters>
  <Lines>123</Lines>
  <Paragraphs>34</Paragraphs>
  <TotalTime>0</TotalTime>
  <ScaleCrop>false</ScaleCrop>
  <LinksUpToDate>false</LinksUpToDate>
  <CharactersWithSpaces>16193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2023-04-26T09:09:00Z</dcterms:created>
  <dc:creator>cgb</dc:creator>
  <cp:lastModifiedBy>Administrator</cp:lastModifiedBy>
  <cp:lastPrinted>2023-04-27T00:50:00Z</cp:lastPrinted>
  <dcterms:modified xsi:type="dcterms:W3CDTF">2023-05-06T01:27:12Z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2A99B4B705DF4D7BAE43940178F51BD3_13</vt:lpwstr>
  </property>
</Properties>
</file>