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hint="eastAsia" w:ascii="黑体" w:hAnsi="黑体" w:eastAsia="黑体"/>
          <w:color w:val="000000"/>
          <w:sz w:val="32"/>
          <w:szCs w:val="32"/>
          <w:lang w:val="en-US"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240" w:beforeLines="100" w:after="240" w:afterLines="100" w:line="520" w:lineRule="exact"/>
        <w:ind w:firstLine="880" w:firstLineChars="200"/>
        <w:jc w:val="center"/>
        <w:textAlignment w:val="auto"/>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rPr>
        <w:t>甘肃某部</w:t>
      </w:r>
      <w:r>
        <w:rPr>
          <w:rFonts w:hint="eastAsia" w:ascii="方正小标宋简体" w:hAnsi="宋体" w:eastAsia="方正小标宋简体"/>
          <w:sz w:val="44"/>
          <w:szCs w:val="44"/>
          <w:lang w:val="en-US" w:eastAsia="zh-CN"/>
        </w:rPr>
        <w:t>信息节点（终端）设备集成融合采购</w:t>
      </w:r>
    </w:p>
    <w:p>
      <w:pPr>
        <w:keepNext w:val="0"/>
        <w:keepLines w:val="0"/>
        <w:pageBreakBefore w:val="0"/>
        <w:widowControl w:val="0"/>
        <w:kinsoku/>
        <w:wordWrap/>
        <w:overflowPunct/>
        <w:topLinePunct w:val="0"/>
        <w:autoSpaceDE/>
        <w:autoSpaceDN/>
        <w:bidi w:val="0"/>
        <w:adjustRightInd/>
        <w:snapToGrid/>
        <w:spacing w:before="240" w:beforeLines="100" w:after="240" w:afterLines="100" w:line="520" w:lineRule="exact"/>
        <w:ind w:firstLine="880" w:firstLineChars="20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val="en-US" w:eastAsia="zh-CN"/>
        </w:rPr>
        <w:t>建设项目</w:t>
      </w:r>
      <w:r>
        <w:rPr>
          <w:rFonts w:hint="eastAsia" w:ascii="方正小标宋简体" w:hAnsi="宋体" w:eastAsia="方正小标宋简体"/>
          <w:sz w:val="44"/>
          <w:szCs w:val="44"/>
        </w:rPr>
        <w:t>（</w:t>
      </w:r>
      <w:r>
        <w:rPr>
          <w:rFonts w:hint="eastAsia" w:ascii="方正小标宋简体" w:hAnsi="宋体" w:eastAsia="方正小标宋简体"/>
          <w:sz w:val="44"/>
          <w:szCs w:val="44"/>
          <w:lang w:val="en-US" w:eastAsia="zh-CN"/>
        </w:rPr>
        <w:t>陇南</w:t>
      </w:r>
      <w:r>
        <w:rPr>
          <w:rFonts w:hint="eastAsia" w:ascii="方正小标宋简体" w:hAnsi="宋体" w:eastAsia="方正小标宋简体"/>
          <w:sz w:val="44"/>
          <w:szCs w:val="44"/>
        </w:rPr>
        <w:t>）技术要求</w:t>
      </w:r>
    </w:p>
    <w:p>
      <w:pPr>
        <w:pStyle w:val="2"/>
        <w:rPr>
          <w:rFonts w:hint="eastAsia" w:ascii="方正小标宋简体" w:hAnsi="宋体" w:eastAsia="方正小标宋简体"/>
          <w:sz w:val="24"/>
          <w:szCs w:val="24"/>
          <w:lang w:val="en-US" w:eastAsia="zh-CN"/>
        </w:rPr>
      </w:pPr>
      <w:r>
        <w:rPr>
          <w:rFonts w:hint="eastAsia" w:ascii="方正小标宋简体" w:hAnsi="宋体" w:eastAsia="方正小标宋简体"/>
          <w:sz w:val="24"/>
          <w:szCs w:val="24"/>
          <w:lang w:val="en-US" w:eastAsia="zh-CN"/>
        </w:rPr>
        <w:t>一、货物一览表：</w:t>
      </w:r>
    </w:p>
    <w:tbl>
      <w:tblPr>
        <w:tblStyle w:val="6"/>
        <w:tblW w:w="147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1190"/>
        <w:gridCol w:w="1406"/>
        <w:gridCol w:w="8122"/>
        <w:gridCol w:w="1276"/>
        <w:gridCol w:w="839"/>
        <w:gridCol w:w="1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1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物资名称</w:t>
            </w:r>
          </w:p>
        </w:tc>
        <w:tc>
          <w:tcPr>
            <w:tcW w:w="14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规格型号</w:t>
            </w:r>
          </w:p>
        </w:tc>
        <w:tc>
          <w:tcPr>
            <w:tcW w:w="81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质量技术标准</w:t>
            </w:r>
          </w:p>
        </w:tc>
        <w:tc>
          <w:tcPr>
            <w:tcW w:w="12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计量</w:t>
            </w:r>
            <w:r>
              <w:rPr>
                <w:rStyle w:val="11"/>
                <w:lang w:val="en-US" w:eastAsia="zh-CN" w:bidi="ar"/>
              </w:rPr>
              <w:t>单位</w:t>
            </w:r>
          </w:p>
        </w:tc>
        <w:tc>
          <w:tcPr>
            <w:tcW w:w="8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数量</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交货期限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8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中队级执勤信息系统软件V3.0（业务融合模块）</w:t>
            </w:r>
          </w:p>
        </w:tc>
        <w:tc>
          <w:tcPr>
            <w:tcW w:w="140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计算机软件</w:t>
            </w:r>
          </w:p>
        </w:tc>
        <w:tc>
          <w:tcPr>
            <w:tcW w:w="812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1.支持门禁管控、枪弹管控、视频监控、大屏联动、周界报警等第三方系统的业务融合；</w:t>
            </w:r>
          </w:p>
        </w:tc>
        <w:tc>
          <w:tcPr>
            <w:tcW w:w="127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8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06"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2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2.门禁管控：支持哨位门禁管控，显示申请开门信息，值班员核实远程开门，门禁开启超时异常提醒。支持AB门远程管控，显示A门进出人员信息，AB门双门同开异常提醒；</w:t>
            </w:r>
          </w:p>
        </w:tc>
        <w:tc>
          <w:tcPr>
            <w:tcW w:w="127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8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06"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2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3.枪支管控：实时感知枪支状态，枪支离位触发异常提醒；实时感知备勤室枪柜状态，含柜门开关、枪支在位、监控等，双人生物认证，值班员核验后远程开柜；</w:t>
            </w:r>
          </w:p>
        </w:tc>
        <w:tc>
          <w:tcPr>
            <w:tcW w:w="127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8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06"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2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4.视频监控：支持接入主流厂家监控视频，接入哨位集成箱、哨位门禁、智能枪柜、警戒雷达等视频监控模块。支持1/4/6/8/9/16分屏显示、云台相机控制、视频录像回放；</w:t>
            </w:r>
          </w:p>
        </w:tc>
        <w:tc>
          <w:tcPr>
            <w:tcW w:w="127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68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06"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2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大屏控制：支持大屏预案管理，针对每个报警信息配置相应显示预案，明确大屏分割布局和所需要显示的视频资源；支持大屏报警联动，融合汇聚视频监控、外部信息等各类视频资源，接收各类报警信息，根据相关报警预案联动控制大屏显示；</w:t>
            </w:r>
          </w:p>
        </w:tc>
        <w:tc>
          <w:tcPr>
            <w:tcW w:w="127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68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06"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2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报警融合：系统融合各类异常报警，接入警戒雷达、振动光缆、电子围栏、激光对射、高压电网、虚拟越界等各类型报警；枪支异常、枪柜异常、AB门异常、弹箱异常等各类异常。支持建立警情分级管理，针对不同异常报警设定不同等级，联动不同预案。一般报警只通过信息系统信息提示；重点报警通过信息系统电子地图显示报警防区、关联视频、语音播报等，推送到备勤室、一线哨位和目标单位，联动大屏显示；</w:t>
            </w:r>
          </w:p>
        </w:tc>
        <w:tc>
          <w:tcPr>
            <w:tcW w:w="127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8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06"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7.软件须与现有设备相兼容。</w:t>
            </w:r>
          </w:p>
        </w:tc>
        <w:tc>
          <w:tcPr>
            <w:tcW w:w="127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8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报警融合接入网关</w:t>
            </w:r>
          </w:p>
        </w:tc>
        <w:tc>
          <w:tcPr>
            <w:tcW w:w="1406"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12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可接入周界电网等报警信号，支持开关量、232、485等接口的接入；            </w:t>
            </w:r>
          </w:p>
        </w:tc>
        <w:tc>
          <w:tcPr>
            <w:tcW w:w="127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3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8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06"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12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 须支持不小于16路开关量报警信号和1路RS485串口报警信号；</w:t>
            </w:r>
          </w:p>
        </w:tc>
        <w:tc>
          <w:tcPr>
            <w:tcW w:w="127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8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06"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1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 3.设备需具备全端口过流、过压、反接、错接、防雷等保护措施。</w:t>
            </w:r>
          </w:p>
        </w:tc>
        <w:tc>
          <w:tcPr>
            <w:tcW w:w="127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8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中队级执勤信息系统软件V2.0（清单工作模块）</w:t>
            </w:r>
          </w:p>
        </w:tc>
        <w:tc>
          <w:tcPr>
            <w:tcW w:w="1406"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12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执勤工作清单：</w:t>
            </w:r>
          </w:p>
        </w:tc>
        <w:tc>
          <w:tcPr>
            <w:tcW w:w="127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3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jc w:val="center"/>
        </w:trPr>
        <w:tc>
          <w:tcPr>
            <w:tcW w:w="68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812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分时段显示监控员、领班员、哨兵每班哨工作清单内容，到达对应时段自动语音播报提醒，未到达规定时段无法提前操作；2.支持工作清单履行情况自动判定。软件自动记录执勤人员各类操作，自动判定工作清单内容是否已履行；3.针对软件无法记录的工作清单内容，如目视观察警戒区等，支持手动登记确认；4.支持以灰、淡黄、黄、绿、红等多种颜色区分清单进度，包括：未开始（灰色）、待操作（淡黄色）、操作中（黄色）、已完成（绿色）、超时未完成（红色）；操作过时不可逆转，无法篡改；</w:t>
            </w:r>
          </w:p>
        </w:tc>
        <w:tc>
          <w:tcPr>
            <w:tcW w:w="127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8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812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查勤工作清单：</w:t>
            </w:r>
          </w:p>
        </w:tc>
        <w:tc>
          <w:tcPr>
            <w:tcW w:w="127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68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812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支持设置查勤工作清单内容，查勤人员在哨位指纹验证通过后，自动弹出该哨位查勤需履行的工作清单内容，对查勤过程中“到、问、查、考、教”的全流程进行提示，避免遗漏查勤步骤；6.支持登记查勤工作清单各项完成情况和完成时间，有效规范查勤工作，防止敷衍化查勤；</w:t>
            </w:r>
          </w:p>
        </w:tc>
        <w:tc>
          <w:tcPr>
            <w:tcW w:w="127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8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812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干部工作清单：</w:t>
            </w:r>
          </w:p>
        </w:tc>
        <w:tc>
          <w:tcPr>
            <w:tcW w:w="127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68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812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支持显示作战勤务值班员当天工作清单内容，到达对应时段自动语音播报提醒，未到达对应时段无法提前操作；8.支持工作清单履行情况自动判定。软件自动记录查勤人员各类操作，自动判定工作清单内容是否已履行；9.支持工作清单进度查看、执勤考评成绩评定、一键智能执勤编组等功能；10.支持添加工作清单，定制记录表等拓展功能；</w:t>
            </w:r>
          </w:p>
        </w:tc>
        <w:tc>
          <w:tcPr>
            <w:tcW w:w="127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8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812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动态工作清单</w:t>
            </w:r>
          </w:p>
        </w:tc>
        <w:tc>
          <w:tcPr>
            <w:tcW w:w="127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68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812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针对监门哨、自卫哨等需履行人车检查登记工作的哨位，支持动态工作清单，包括人行登记工作清单、车行登记工作清单等；12.支持根据任务发生时间，灵活调取动态工作清单，提示执勤人员按步骤履行人车登记检查工作，并逐步记录完成情况；</w:t>
            </w:r>
          </w:p>
        </w:tc>
        <w:tc>
          <w:tcPr>
            <w:tcW w:w="127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8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812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履职情况监督</w:t>
            </w:r>
          </w:p>
        </w:tc>
        <w:tc>
          <w:tcPr>
            <w:tcW w:w="127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8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81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工作清单进度查看：支持汇总显示各哨位工作清单履行情况，以进度条形式可视化显示各时段工作项总数量、当前已完成数量，便于对各哨位履职情况进行有效监督；14、执勤考评成绩评定：支持以可视化图表展示每班哨执勤考评成绩，包括上哨时间、哨位名称、班次、哨兵姓名、工作清单得分、网络查勤得分、实地查勤得分、综合得分等；15、一键智能执勤编组：支持根据强弱搭配，新老结合等原则一键智能执勤编组；支持设置智能执勤编组规则，如新兵上勤比例、最短上哨间隔、哨兵心理状态等要求；支持针对任务需要设置各哨位编组要求，如入伍年限、军衔等。</w:t>
            </w:r>
          </w:p>
        </w:tc>
        <w:tc>
          <w:tcPr>
            <w:tcW w:w="127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jc w:val="center"/>
        </w:trPr>
        <w:tc>
          <w:tcPr>
            <w:tcW w:w="6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指挥控制台壳体</w:t>
            </w:r>
          </w:p>
        </w:tc>
        <w:tc>
          <w:tcPr>
            <w:tcW w:w="14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五联、金属</w:t>
            </w:r>
          </w:p>
        </w:tc>
        <w:tc>
          <w:tcPr>
            <w:tcW w:w="81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计严格遵循人体工程学，整体外观流线造型，每个边角都采用圆弧过度，设计创新，结构合理，加工精细简洁，流畅，现代，美观大方。2.表面工艺按标准操作工序，使柜体表面涂层的硬度，与基材的结合力、抗冲击力及涂层厚度均优于以下国家标准：GB/T19183标准、GB/T3047.2-1992标准、GB/T3325-2008标准及IEC61969标准。表面采用环保型防静电涂层，涂层表面光洁、色泽均匀，保证长期使用不锈蚀,操作台框体结构采用组合式全拼装设计，可拆卸成平板包装，主体承重架采用焊接方式；考虑控制室后期设备升级改造，操作台结构有利于后期设备的增减材料,便于现场拼接安装及后期增加工位时保证整体结构不变，只在两端扩展增加，达到不影响当前工作的要求。3.操作台钣金部分采用国产高标准（Q235）冷轧钢板制作，承重结构2.0mm，主体材料1.5mm，活动托盘1.2mm（封边焊接），门板、键盘抽屉1.2mm（门板加工工艺自带加强筋），桌面及侧面装饰板采用25mm-32mm厚高密度纤维板，表面平滑，在环境温、湿度变化时，尺寸稳定性好，容易进行表面装饰处理。内部组织结构细密均匀，内外一致，特别具有密实的边缘，可加工成各种异型的边缘，表面采用金属烤漆进行涂饰，可以取得较好的美观造型效果。后靠背采用操作台专用定制铝合金型材背板装饰，可将显示器支架直接固定在靠背组件铝型材上，此完美的结合解决了工作的实时性、实用性及美观。工作台面1000mm的深度与专用显示器支架结合，当显示器置于最前端时显示器离台面前边缘的距离为700-750mm,科学的距离能降低工作人员的视觉疲劳，又不影看清显示器的内容。键盘鼠标集成在台面下方的键鼠托内，键鼠托的滑动导轨采用进口静音家具专用导轨，理论推拉次数达到10万次以上。按照每天20次的推拉计算使用寿命可达到10年。综合整体的设计，使桌面空间更大，从而解决了电话机，打印机及其他设备的安装和工作资料的摆放空间。4.操作台内部空间大，可互相连通，内部标准设计能更大的利用内部空间，容纳更多的设备，保证每台设备之间有足够大的散热通风空间，降低操作台内部温度，柜体前后设计为开关灵活的柜门，前后门锁采用AB系列锁具，操作方便快捷，有利于设备的安装及维护。前后门设计散热孔，具有较好的散热通风效果，从而提高设备运行的稳定性，更能达到维护方便，内部的整体美观。5.尺寸(可选):每工位宽度(800/1000/1200)*深度(900/1000/1100)*桌面高度（780）。</w:t>
            </w:r>
          </w:p>
        </w:tc>
        <w:tc>
          <w:tcPr>
            <w:tcW w:w="12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3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8" w:hRule="atLeast"/>
          <w:jc w:val="center"/>
        </w:trPr>
        <w:tc>
          <w:tcPr>
            <w:tcW w:w="6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智能综合控制主机</w:t>
            </w:r>
          </w:p>
        </w:tc>
        <w:tc>
          <w:tcPr>
            <w:tcW w:w="1406"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1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硬件平台：须采用国产化嵌入式处理器，嵌入式操作系统，确保运行稳定可靠；2.通话方式：模式1：鹅颈麦输入、扬声器输出；模式2：拾音器输入、扬声器输出；3.具备触摸显示屏，分辨率1440*900以上，可分别显示可视对讲和枪弹管控界面；4.分组管理：支持按照哨位集成箱、对讲主机、对讲分机、任务联动等分类显示终端；5.可视对讲：支持和各类对讲设备进行可视对讲；6.语音广播：支持对各类对讲设备进行语音广播，支持独立物理按键一键紧急广播；7.语音监听：支持对各类对讲设备轮询语音监听，同步轮询显示监听设备关联监控；8.门禁控制：显示门禁信息和关联视频，远程授权或拒绝开门；支持远程主动开门；9.报警触发：支持触发五种分类报警以及紧急报警；10.报警解除：支持报警解除，一键解除各类报警；11.支持枪弹管控界面上分区显示哨位和枪柜信息，哨位信息包含哨位在线状态、弹箱开关状态等，枪柜信息包含枪柜在线状态、枪柜开关状态、枪支在位状态、温度、湿度等；12.弹箱管控：收到申请供弹时，自动显示申请哨位、哨位前置和弹箱视频画面、弹箱开关状态，同时语言播报提醒，可以进行确认供弹、拒绝供弹、全部供弹、全部拒绝操作。13.供弹方式：选择哨位主动远程供弹；哨位报警联动申请供弹；哨位单独操作申请供弹；14.枪柜管控：收到申请开柜时，自动显示枪柜前置和内置视频画面、枪柜开关状态、枪支在位状态、生物识别信息等，同时语言播报提醒，可以进行确认开柜、拒绝开柜操作。15.授权认证：支持设置密码或指纹认证通过后才可授权开启弹箱和枪柜；16.报警提醒：支持发生弹箱开启超时、枪柜开启超时报警语音播报提醒；17.枪弹查看：支持选中哨位，查看哨位前置、弹箱内置视频；选中枪柜，查看枪柜前置、枪柜内置视频；支持4/9分屏显示所有弹箱内置、枪柜内置实时视频，支持自动分页；18.警情转发：接收报警终端触发、解除报警，并将触发报警、解除报警转发给其他设备；19.备份传输：网络阻塞、崩溃时，通过串行总线备份传输申请供弹、哨位报警关键信息；20.指纹识别：采用半导体指纹传感器，指纹用户容量≧512枚；21.物理按键：4个对讲广播、2个门禁管控、7个报警控制、6个枪弹控制按键，带背光；22.网络接口：1路10/100/1000Mbps自适应以太网RJ45接口；23.串行接口：1路RS485凤凰端子接口；2路RS232DB9接口；24.音频接口：1路Mic-in音频输入、1路Line-out音频输出；25.其他接口：2路USB2.0标准接口、1路VGA视频输出接口；26.此设备须与现有系统设备相兼容。</w:t>
            </w:r>
          </w:p>
        </w:tc>
        <w:tc>
          <w:tcPr>
            <w:tcW w:w="12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3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6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可视对讲摄像模块</w:t>
            </w:r>
          </w:p>
        </w:tc>
        <w:tc>
          <w:tcPr>
            <w:tcW w:w="1406"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1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在执勤操作台，接入智能综合控制主机；2.传感器类型：1/2.8英寸CMOS图像传感器；3.图像分辨率：200万像素，1920*1080@25fps；4.编码格式：支持H.264B/M/H、H.265编码；5.通信接口：1路100Mbps以太网RJ45接口；6.工作电压：DC12V±20%；设备功率：≦5W。</w:t>
            </w:r>
          </w:p>
        </w:tc>
        <w:tc>
          <w:tcPr>
            <w:tcW w:w="12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3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6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指纹采集摇杆键盘</w:t>
            </w:r>
          </w:p>
        </w:tc>
        <w:tc>
          <w:tcPr>
            <w:tcW w:w="1406"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1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和执勤信息系统软件对接进行指纹录入、云台控制操作；2.指纹采集时间≦1秒；指纹比对时间≦1秒；指纹容量≧512；3.集成1个摇杆实现对摄像机进行云台控制、镜头变倍等操作；4.支持0-9数字按键，确认、取消功能按键；5.支持1块128*32点阵屏，显示操作信息；6.对外接口：2个USB2.0，1个RS485，1个DC12V电源接口。</w:t>
            </w:r>
          </w:p>
        </w:tc>
        <w:tc>
          <w:tcPr>
            <w:tcW w:w="12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3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jc w:val="center"/>
        </w:trPr>
        <w:tc>
          <w:tcPr>
            <w:tcW w:w="6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23.8英寸触摸显示器</w:t>
            </w:r>
          </w:p>
        </w:tc>
        <w:tc>
          <w:tcPr>
            <w:tcW w:w="14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触摸屏≥23英寸，分辨率≥1920*1080；</w:t>
            </w:r>
          </w:p>
        </w:tc>
        <w:tc>
          <w:tcPr>
            <w:tcW w:w="812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1.屏幕尺寸：23.8寸；分辨率：1920*1080；2.屏幕比例：16：9宽屏；触摸屏：电容屏；3.显示亮度：300cd/m2；对比度：1000：1；可视角度：178°H/V；4.对外接口：1路HDMI、1路VGA输入接口；1路USB触摸屏接口。</w:t>
            </w:r>
          </w:p>
        </w:tc>
        <w:tc>
          <w:tcPr>
            <w:tcW w:w="12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3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6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指挥控制台电脑主机</w:t>
            </w:r>
          </w:p>
        </w:tc>
        <w:tc>
          <w:tcPr>
            <w:tcW w:w="1406"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highlight w:val="none"/>
                <w:u w:val="none"/>
              </w:rPr>
            </w:pPr>
          </w:p>
        </w:tc>
        <w:tc>
          <w:tcPr>
            <w:tcW w:w="812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1.设备类型：工作站；操作系统银河麒麟V4.0.2；2.主处理器：腾锐D2000，8核，2.3GHZ；固件：昆仑固件V4.0；内存DDR4，2*8GB=16GB；硬盘：固态盘，容量512GB；显存2GB；光驱：内置DVD-RW光驱；功耗：50W</w:t>
            </w:r>
          </w:p>
        </w:tc>
        <w:tc>
          <w:tcPr>
            <w:tcW w:w="12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3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2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3" w:hRule="atLeast"/>
          <w:jc w:val="center"/>
        </w:trPr>
        <w:tc>
          <w:tcPr>
            <w:tcW w:w="6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统一显控调度软件</w:t>
            </w:r>
          </w:p>
        </w:tc>
        <w:tc>
          <w:tcPr>
            <w:tcW w:w="1406"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1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视频资源接入功能：支持接入海康、宇视、大华等国内主流厂商监控视频，接入哨位集成箱、哨位门禁、智能枪柜、警戒雷达等设备集成视频模块，接入各类电脑主机画面；2.信号源组织树功能：对对各种视频信号源进行树状分组管理，支持关键词检索信号源；3.信号实时预览功能：支持对摄像机、电脑主机视频预览显示；4.大屏实时回显功能：支持实时查看大屏回显视频画面，软件画面与大屏画面完全同步；5.视频信号轮询功能：支持在大屏上设置视频轮询模式，支持在屏幕指定区域循环显示，软件上可设置需要轮询的监控信号、重要电脑信号等，设置相应轮询时间，直接调用；6.大屏显示调度功能：通过直观拖拽方式控制信号切换、开窗、叠加、漫游、大小调整、全屏、关闭等，对拼接屏自定义布局，虚拟显示墙和物理显示终端同步，所见即所得；7.显示模式管理功能：支持对大屏预先分割布局，生成相应模式，支持全屏、212模式，818模式、清屏、2分屏、8分屏、32分屏等大屏布局模式，一键快捷调用布局模式；8.显示预案管理功能：支持对大屏预先分割布局，设置所需显示的视频，生成相应预案。支持对常用显示预案一键调用；支持对预案设置轮询显示，可任意设定轮询显示时间；9.全域报警联动功能：汇聚视频监控、外部信息等视频资源，对值班室拼接屏灵活控制；支持与中队信息系统深度融合，接收报警信息和预案，并控制拼接大屏联动显示；10.辅助指挥调度功能：将多种不同的业务系统统一整合，统一管控调度，集成KVM功能，实现可视化一键切换不同业务系统。只需通过一套鼠标、键盘即可控制多种业务功能。</w:t>
            </w:r>
          </w:p>
        </w:tc>
        <w:tc>
          <w:tcPr>
            <w:tcW w:w="12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jc w:val="center"/>
        </w:trPr>
        <w:tc>
          <w:tcPr>
            <w:tcW w:w="6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分布式全高清编码节点4K</w:t>
            </w:r>
          </w:p>
        </w:tc>
        <w:tc>
          <w:tcPr>
            <w:tcW w:w="14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4K、HDMI接口</w:t>
            </w:r>
          </w:p>
        </w:tc>
        <w:tc>
          <w:tcPr>
            <w:tcW w:w="81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编码性能：支持分辨率为4K@60Hz视频实时编码；2.环路输出：支持高清视频输入信号本地环路物理接口输出；3.远程KVM：支持通过坐席鼠标键盘对远端信号源主机进行控制；4.鼠标跨屏：坐席鼠标在多台显示器之间滑动进行多机管理；5.信息推送：推送信号至其他坐席或者大屏，实现坐席协作；6.网络接口：1路1000Mbps以太网RJ45接口；7.视频接口：1路高清输出HDMI1.3、1路高清输入HDMI1.3；8.音频接口：1路音频输入、1路音频输出，凤凰端子接口；9.串行接口：1路RS232、1路RS485通信，凤凰端子接口；10.USB接口：1路标准USB2.0接口，模拟鼠标键盘。</w:t>
            </w:r>
          </w:p>
        </w:tc>
        <w:tc>
          <w:tcPr>
            <w:tcW w:w="12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3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6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分布式全高清编码节点4K</w:t>
            </w:r>
          </w:p>
        </w:tc>
        <w:tc>
          <w:tcPr>
            <w:tcW w:w="14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4K、VGA接口</w:t>
            </w:r>
          </w:p>
        </w:tc>
        <w:tc>
          <w:tcPr>
            <w:tcW w:w="81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编码性能：支持分辨率为4K@60Hz视频实时编码；2.环路输出：支持高清视频输入信号本地环路物理接口输出；3.远程KVM：支持通过坐席鼠标键盘对远端信号源主机进行控制；4.鼠标跨屏：坐席鼠标在多台显示器之间滑动进行多机管理；5.信息推送：推送信号至其他坐席或者大屏，实现坐席协作；6.网络接口：1路1000Mbps以太网RJ45接口；7.视频接口：1路高清输出DVI-I、1路高清输入DVI-X接口；采用DVI视频输入接口，可以兼容HDMI、DVI、VGA、YPbPr、CVBS信号输入；8.音频接口：1路音频输入、1路音频输出，凤凰端子接口；9.串行接口：1路RS232、1路RS485通信，凤凰端子接口；10.USB接口：1路标准USB2.0接口，模拟鼠标键盘。</w:t>
            </w:r>
          </w:p>
        </w:tc>
        <w:tc>
          <w:tcPr>
            <w:tcW w:w="12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3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jc w:val="center"/>
        </w:trPr>
        <w:tc>
          <w:tcPr>
            <w:tcW w:w="6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分布式全高清解码节点4K</w:t>
            </w:r>
          </w:p>
        </w:tc>
        <w:tc>
          <w:tcPr>
            <w:tcW w:w="1406"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1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无需单独转发服务器将网络中IPC直接接入解码上墙显示；2.解码性能：支持分辨率为4K@60Hz视频实时解码；3.视频接入：兼容市面上各大品牌摄像机、NVR视频流信号；4.拼接漫游：支持任意跨屏，单屏16个窗口，可16层重叠；5.预览回显：支持解码视频在调度软件实时预览、实时回显；6.滚动字幕：支持自定义字幕信息在LCD拼接屏上滚动显示；7.网络接口：1路1000Mbps以太网RJ45接口（可POE供电）；8.视频接口：1路高清视频输出HDMI1.4接口；9.音频接口：1路音频输入、1路音频输出，凤凰端子接口；10.串行接口：1路RS232、1路RS485通信，凤凰端子接口。</w:t>
            </w:r>
          </w:p>
        </w:tc>
        <w:tc>
          <w:tcPr>
            <w:tcW w:w="12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3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23</w:t>
            </w:r>
          </w:p>
        </w:tc>
        <w:tc>
          <w:tcPr>
            <w:tcW w:w="12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6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24口全千兆交换机</w:t>
            </w:r>
          </w:p>
        </w:tc>
        <w:tc>
          <w:tcPr>
            <w:tcW w:w="14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24口千兆</w:t>
            </w:r>
          </w:p>
        </w:tc>
        <w:tc>
          <w:tcPr>
            <w:tcW w:w="81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1.端口数量：24个1000Base-T以太网端口，4个千兆SFP；2.包转发率：51/126Mpps；交换容量：336Gbps/3.36Tbps；3.输入电压：额定工作电源为AC100V~AC240V，50Hz/60Hz；4.散热方式：风冷散热，智能调速。</w:t>
            </w:r>
          </w:p>
        </w:tc>
        <w:tc>
          <w:tcPr>
            <w:tcW w:w="12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3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超短波电台稳压电源</w:t>
            </w:r>
          </w:p>
        </w:tc>
        <w:tc>
          <w:tcPr>
            <w:tcW w:w="14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81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1.电压：0-30V；2.电流：0-10A；3.具备电流过载保护；4.显示器可显示实时电压、电流数值；5.具备电压电流锁定功能，防止误操作。</w:t>
            </w:r>
          </w:p>
        </w:tc>
        <w:tc>
          <w:tcPr>
            <w:tcW w:w="12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3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录音电话</w:t>
            </w:r>
          </w:p>
        </w:tc>
        <w:tc>
          <w:tcPr>
            <w:tcW w:w="14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81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1.有线座机；2.颜色：黑色；3.具备480分钟以上录音功能；4.具备防雷、抗电磁干扰功能</w:t>
            </w:r>
          </w:p>
        </w:tc>
        <w:tc>
          <w:tcPr>
            <w:tcW w:w="12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83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jc w:val="center"/>
        </w:trPr>
        <w:tc>
          <w:tcPr>
            <w:tcW w:w="6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IP网络分机</w:t>
            </w:r>
          </w:p>
        </w:tc>
        <w:tc>
          <w:tcPr>
            <w:tcW w:w="14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81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呼叫/报警：可向IP网络主机呼叫/报警；2.双工对讲：可与IP网络主机双工对讲；3.监听：可接收IP网络主机的监听，可作监听头用；4.喧哗报警：分机处于持续喧哗并超过一定分贝时，可自动向主机发出报警；5.广播播放：可通过网络接收主机的MP3文件广播或喊话；6.VOIP电话接入：支持标准SIP通讯协议，可与VOIP电话进行双向对讲；7.消防强切：当有消防报警时，自动将广播声音强切到最大音量；8.指令控制：可以接受第三方软件的控制指令，播放指定的音频文件；9.报警联动：报警呼叫时，通过TCP连接与其它平台联动。如：开启监控摄像头；10.数据保密：对传输中的数据进行加密，以防止他人窃听利用，使通话更安全；11.在线检测：可实时检测分机的在线状态，方便调试、检修和维护。</w:t>
            </w:r>
          </w:p>
        </w:tc>
        <w:tc>
          <w:tcPr>
            <w:tcW w:w="12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3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键鼠套装</w:t>
            </w:r>
          </w:p>
        </w:tc>
        <w:tc>
          <w:tcPr>
            <w:tcW w:w="1406"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22"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一拖多USB拓展器</w:t>
            </w:r>
          </w:p>
        </w:tc>
        <w:tc>
          <w:tcPr>
            <w:tcW w:w="1406"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22"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线辅材</w:t>
            </w:r>
          </w:p>
        </w:tc>
        <w:tc>
          <w:tcPr>
            <w:tcW w:w="1406"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81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六类网线、视频线、视频转接头、USB延长线等</w:t>
            </w:r>
          </w:p>
        </w:tc>
        <w:tc>
          <w:tcPr>
            <w:tcW w:w="12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83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tbl>
      <w:tblPr>
        <w:tblStyle w:val="6"/>
        <w:tblpPr w:leftFromText="180" w:rightFromText="180" w:vertAnchor="text" w:horzAnchor="page" w:tblpX="1205" w:tblpY="1353"/>
        <w:tblOverlap w:val="never"/>
        <w:tblW w:w="14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51"/>
        <w:gridCol w:w="1247"/>
        <w:gridCol w:w="8542"/>
        <w:gridCol w:w="783"/>
        <w:gridCol w:w="849"/>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blHeader/>
        </w:trPr>
        <w:tc>
          <w:tcPr>
            <w:tcW w:w="760" w:type="dxa"/>
            <w:vAlign w:val="center"/>
          </w:tcPr>
          <w:p>
            <w:pPr>
              <w:spacing w:line="400" w:lineRule="exact"/>
              <w:jc w:val="center"/>
              <w:rPr>
                <w:rFonts w:eastAsia="黑体"/>
                <w:sz w:val="24"/>
              </w:rPr>
            </w:pPr>
            <w:r>
              <w:rPr>
                <w:rFonts w:eastAsia="黑体"/>
                <w:sz w:val="24"/>
              </w:rPr>
              <w:t>序号</w:t>
            </w:r>
          </w:p>
        </w:tc>
        <w:tc>
          <w:tcPr>
            <w:tcW w:w="1251" w:type="dxa"/>
            <w:vAlign w:val="center"/>
          </w:tcPr>
          <w:p>
            <w:pPr>
              <w:spacing w:line="400" w:lineRule="exact"/>
              <w:jc w:val="center"/>
              <w:rPr>
                <w:rFonts w:eastAsia="黑体"/>
                <w:sz w:val="24"/>
              </w:rPr>
            </w:pPr>
            <w:r>
              <w:rPr>
                <w:rFonts w:eastAsia="黑体"/>
                <w:sz w:val="24"/>
              </w:rPr>
              <w:t>物资名称</w:t>
            </w:r>
          </w:p>
        </w:tc>
        <w:tc>
          <w:tcPr>
            <w:tcW w:w="1247" w:type="dxa"/>
            <w:vAlign w:val="center"/>
          </w:tcPr>
          <w:p>
            <w:pPr>
              <w:spacing w:line="400" w:lineRule="exact"/>
              <w:jc w:val="center"/>
              <w:rPr>
                <w:rFonts w:eastAsia="黑体"/>
                <w:sz w:val="24"/>
              </w:rPr>
            </w:pPr>
            <w:r>
              <w:rPr>
                <w:rFonts w:eastAsia="黑体"/>
                <w:sz w:val="24"/>
              </w:rPr>
              <w:t>规格型号</w:t>
            </w:r>
          </w:p>
        </w:tc>
        <w:tc>
          <w:tcPr>
            <w:tcW w:w="8542" w:type="dxa"/>
            <w:vAlign w:val="center"/>
          </w:tcPr>
          <w:p>
            <w:pPr>
              <w:spacing w:line="400" w:lineRule="exact"/>
              <w:jc w:val="center"/>
              <w:rPr>
                <w:rFonts w:eastAsia="黑体"/>
                <w:sz w:val="24"/>
              </w:rPr>
            </w:pPr>
            <w:r>
              <w:rPr>
                <w:rFonts w:eastAsia="黑体"/>
                <w:sz w:val="24"/>
              </w:rPr>
              <w:t>质量技术标准</w:t>
            </w:r>
          </w:p>
        </w:tc>
        <w:tc>
          <w:tcPr>
            <w:tcW w:w="783" w:type="dxa"/>
            <w:vAlign w:val="center"/>
          </w:tcPr>
          <w:p>
            <w:pPr>
              <w:spacing w:line="400" w:lineRule="exact"/>
              <w:jc w:val="center"/>
              <w:rPr>
                <w:rFonts w:eastAsia="黑体"/>
                <w:sz w:val="24"/>
              </w:rPr>
            </w:pPr>
            <w:r>
              <w:rPr>
                <w:rFonts w:hint="eastAsia" w:eastAsia="黑体"/>
                <w:sz w:val="24"/>
              </w:rPr>
              <w:t>计量</w:t>
            </w:r>
            <w:r>
              <w:rPr>
                <w:rFonts w:eastAsia="黑体"/>
                <w:sz w:val="24"/>
              </w:rPr>
              <w:t>单位</w:t>
            </w:r>
          </w:p>
        </w:tc>
        <w:tc>
          <w:tcPr>
            <w:tcW w:w="849" w:type="dxa"/>
            <w:vAlign w:val="center"/>
          </w:tcPr>
          <w:p>
            <w:pPr>
              <w:spacing w:line="400" w:lineRule="exact"/>
              <w:jc w:val="center"/>
              <w:rPr>
                <w:rFonts w:eastAsia="黑体"/>
                <w:sz w:val="24"/>
              </w:rPr>
            </w:pPr>
            <w:r>
              <w:rPr>
                <w:rFonts w:eastAsia="黑体"/>
                <w:sz w:val="24"/>
              </w:rPr>
              <w:t>数量</w:t>
            </w:r>
          </w:p>
        </w:tc>
        <w:tc>
          <w:tcPr>
            <w:tcW w:w="1229" w:type="dxa"/>
            <w:vAlign w:val="center"/>
          </w:tcPr>
          <w:p>
            <w:pPr>
              <w:spacing w:line="400" w:lineRule="exact"/>
              <w:jc w:val="center"/>
              <w:rPr>
                <w:rFonts w:eastAsia="黑体"/>
                <w:sz w:val="24"/>
              </w:rPr>
            </w:pPr>
            <w:r>
              <w:rPr>
                <w:rFonts w:eastAsia="黑体"/>
                <w:sz w:val="24"/>
              </w:rPr>
              <w:t>交货期限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exact"/>
        </w:trPr>
        <w:tc>
          <w:tcPr>
            <w:tcW w:w="760" w:type="dxa"/>
            <w:vAlign w:val="center"/>
          </w:tcPr>
          <w:p>
            <w:pPr>
              <w:spacing w:line="40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1251" w:type="dxa"/>
            <w:vAlign w:val="center"/>
          </w:tcPr>
          <w:p>
            <w:pPr>
              <w:spacing w:line="400" w:lineRule="exact"/>
              <w:rPr>
                <w:rFonts w:hint="eastAsia" w:ascii="宋体" w:hAnsi="宋体" w:eastAsia="宋体" w:cs="宋体"/>
                <w:sz w:val="18"/>
                <w:szCs w:val="18"/>
              </w:rPr>
            </w:pPr>
            <w:r>
              <w:rPr>
                <w:rFonts w:hint="eastAsia" w:ascii="宋体" w:hAnsi="宋体" w:eastAsia="宋体" w:cs="宋体"/>
                <w:kern w:val="0"/>
                <w:sz w:val="18"/>
                <w:szCs w:val="18"/>
              </w:rPr>
              <w:t>智能指挥控制台（标准版）</w:t>
            </w:r>
          </w:p>
        </w:tc>
        <w:tc>
          <w:tcPr>
            <w:tcW w:w="1247" w:type="dxa"/>
            <w:vAlign w:val="center"/>
          </w:tcPr>
          <w:p>
            <w:pPr>
              <w:spacing w:line="400" w:lineRule="exact"/>
              <w:rPr>
                <w:rFonts w:hint="eastAsia" w:ascii="宋体" w:hAnsi="宋体" w:eastAsia="宋体" w:cs="宋体"/>
                <w:sz w:val="18"/>
                <w:szCs w:val="18"/>
              </w:rPr>
            </w:pPr>
          </w:p>
        </w:tc>
        <w:tc>
          <w:tcPr>
            <w:tcW w:w="8542" w:type="dxa"/>
            <w:vAlign w:val="center"/>
          </w:tcPr>
          <w:p>
            <w:pPr>
              <w:widowControl/>
              <w:spacing w:line="180" w:lineRule="exact"/>
              <w:jc w:val="left"/>
              <w:rPr>
                <w:rFonts w:hint="eastAsia" w:ascii="宋体" w:hAnsi="宋体" w:eastAsia="宋体" w:cs="宋体"/>
                <w:sz w:val="18"/>
                <w:szCs w:val="18"/>
              </w:rPr>
            </w:pPr>
            <w:r>
              <w:rPr>
                <w:rFonts w:hint="eastAsia" w:ascii="宋体" w:hAnsi="宋体" w:eastAsia="宋体" w:cs="宋体"/>
                <w:sz w:val="18"/>
                <w:szCs w:val="18"/>
              </w:rPr>
              <w:t>1、支持1个不低于23.8寸升降液晶显示屏、1个15.6寸液晶显示屏，电容式触摸屏操作控制；支持HDMI、VGA等多种信号输入显示，支持亮度调节，电容式触摸屏操作；2、支持进行AI人工智能语音交互功能，通过语音识别打开各种常用功能菜单界面；3、根据任务清单设定的时间，支持执行语音查勤；4、支持带权限操作功能，支持指纹、密码验证登录，特殊权限操作需输入密码或指纹信息；5、支持兼容标准SIP/VoIP协议，可单独接入IPPBX电话系统；6、支持200万像素高清摄像头；7、支持单屏多用、触控操作、KVM扩容接入；8、支持岗哨门禁控制与门状态检测功能，可对岗哨门禁终端进行远程开门、验证开门等控制操作，并实时检测和显示门状态；9、支持语音群呼、语音对讲、可视对讲等功能；10、支持记录查询、单个监听、通话过程监听等功能；支持与执勤哨位终端、语音对讲终端进行单呼、组呼、群呼；11、支持来/去电显示功能，来电语音播报</w:t>
            </w:r>
            <w:r>
              <w:rPr>
                <w:rFonts w:hint="eastAsia" w:ascii="宋体" w:hAnsi="宋体" w:eastAsia="宋体" w:cs="宋体"/>
                <w:sz w:val="18"/>
                <w:szCs w:val="18"/>
              </w:rPr>
              <w:br w:type="textWrapping"/>
            </w:r>
            <w:r>
              <w:rPr>
                <w:rFonts w:hint="eastAsia" w:ascii="宋体" w:hAnsi="宋体" w:eastAsia="宋体" w:cs="宋体"/>
                <w:sz w:val="18"/>
                <w:szCs w:val="18"/>
              </w:rPr>
              <w:t>12、支持一键触发6类（暴狱、越狱、袭击、灾害、劫持、突发）哨位主动报警功能，报警联动哨位信息化终端、声光报警器等设备；13、支持在哨位系统平台瘫痪、系统网络堵塞情况下，对哨位子弹箱紧急供弹应急开启控制；支持取消供弹、一键子弹箱全部打开功能；14、支持在哨位系统平台瘫痪、哨位信息化终端离线时，接收哨位离线报警、紧急报警功能；15、枪弹管控和报警管控支持网络、RS485备份传输通讯；支持在系统无故障时为待机状态，当系统故障时自动切换为应急状态；16、支持哨位触发紧急报警、紧急供弹时哨位信息化终端前置视频实时监控显示；17、支持通信状态显示、设备状态显示；申请供弹提示，子弹箱状态提示，报警状态提示；18、支持接收执勤枪弹柜开门申请，并显示申请人员信息及联动视频，确认申请后枪弹柜门自动开锁；19、支持一键远程授权开启执勤枪弹柜门；20、支持平台系统瘫痪、系统网络堵塞等情况下，枪弹柜门仍可开启；</w:t>
            </w:r>
            <w:r>
              <w:rPr>
                <w:rFonts w:hint="eastAsia" w:ascii="宋体" w:hAnsi="宋体" w:eastAsia="宋体" w:cs="宋体"/>
                <w:sz w:val="18"/>
                <w:szCs w:val="18"/>
              </w:rPr>
              <w:br w:type="textWrapping"/>
            </w:r>
            <w:r>
              <w:rPr>
                <w:rFonts w:hint="eastAsia" w:ascii="宋体" w:hAnsi="宋体" w:eastAsia="宋体" w:cs="宋体"/>
                <w:sz w:val="18"/>
                <w:szCs w:val="18"/>
              </w:rPr>
              <w:t>21、支持枪弹柜设备状态实时显示；22、支持2路全频喇叭独立播放，支持业务音频播报及可视对讲、监听；23、话筒杆可拆卸，支持2种方式通话：免提(麦秆)和听筒</w:t>
            </w:r>
          </w:p>
        </w:tc>
        <w:tc>
          <w:tcPr>
            <w:tcW w:w="783" w:type="dxa"/>
            <w:vAlign w:val="center"/>
          </w:tcPr>
          <w:p>
            <w:pPr>
              <w:spacing w:line="400" w:lineRule="exact"/>
              <w:jc w:val="center"/>
              <w:rPr>
                <w:rFonts w:hint="eastAsia" w:ascii="宋体" w:hAnsi="宋体" w:eastAsia="宋体" w:cs="宋体"/>
                <w:sz w:val="18"/>
                <w:szCs w:val="18"/>
              </w:rPr>
            </w:pPr>
            <w:r>
              <w:rPr>
                <w:rFonts w:hint="eastAsia" w:ascii="宋体" w:hAnsi="宋体" w:eastAsia="宋体" w:cs="宋体"/>
                <w:sz w:val="18"/>
                <w:szCs w:val="18"/>
              </w:rPr>
              <w:t>套</w:t>
            </w:r>
          </w:p>
        </w:tc>
        <w:tc>
          <w:tcPr>
            <w:tcW w:w="849" w:type="dxa"/>
            <w:vAlign w:val="center"/>
          </w:tcPr>
          <w:p>
            <w:pPr>
              <w:spacing w:line="400" w:lineRule="exact"/>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c>
          <w:tcPr>
            <w:tcW w:w="1229" w:type="dxa"/>
            <w:vAlign w:val="center"/>
          </w:tcPr>
          <w:p>
            <w:pPr>
              <w:widowControl/>
              <w:spacing w:line="240" w:lineRule="exact"/>
              <w:jc w:val="center"/>
              <w:textAlignment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3" w:hRule="exact"/>
        </w:trPr>
        <w:tc>
          <w:tcPr>
            <w:tcW w:w="760" w:type="dxa"/>
            <w:vAlign w:val="center"/>
          </w:tcPr>
          <w:p>
            <w:pPr>
              <w:spacing w:line="40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1251" w:type="dxa"/>
            <w:vAlign w:val="center"/>
          </w:tcPr>
          <w:p>
            <w:pPr>
              <w:widowControl/>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操作台</w:t>
            </w:r>
          </w:p>
        </w:tc>
        <w:tc>
          <w:tcPr>
            <w:tcW w:w="1247" w:type="dxa"/>
            <w:vAlign w:val="center"/>
          </w:tcPr>
          <w:p>
            <w:pPr>
              <w:widowControl/>
              <w:spacing w:line="180" w:lineRule="exact"/>
              <w:jc w:val="left"/>
              <w:rPr>
                <w:rFonts w:hint="eastAsia" w:ascii="宋体" w:hAnsi="宋体" w:eastAsia="宋体" w:cs="宋体"/>
                <w:sz w:val="18"/>
                <w:szCs w:val="18"/>
              </w:rPr>
            </w:pPr>
            <w:r>
              <w:rPr>
                <w:rFonts w:hint="eastAsia" w:ascii="宋体" w:hAnsi="宋体" w:eastAsia="宋体" w:cs="宋体"/>
                <w:sz w:val="18"/>
                <w:szCs w:val="18"/>
              </w:rPr>
              <w:t>五联、金属</w:t>
            </w:r>
          </w:p>
        </w:tc>
        <w:tc>
          <w:tcPr>
            <w:tcW w:w="8542" w:type="dxa"/>
            <w:vAlign w:val="center"/>
          </w:tcPr>
          <w:p>
            <w:pPr>
              <w:widowControl/>
              <w:spacing w:line="180" w:lineRule="exact"/>
              <w:jc w:val="left"/>
              <w:rPr>
                <w:rFonts w:hint="eastAsia" w:ascii="宋体" w:hAnsi="宋体" w:eastAsia="宋体" w:cs="宋体"/>
                <w:sz w:val="18"/>
                <w:szCs w:val="18"/>
              </w:rPr>
            </w:pPr>
            <w:r>
              <w:rPr>
                <w:rFonts w:hint="eastAsia" w:ascii="宋体" w:hAnsi="宋体" w:eastAsia="宋体" w:cs="宋体"/>
                <w:sz w:val="18"/>
                <w:szCs w:val="18"/>
              </w:rPr>
              <w:t>1.名称:操作台 2.参数:1.设计 严格遵循人体工 程学，整体外观 流线造型，每个 边角都采用圆弧 过度，设计创新 ，结构合理，加 工精细简洁，流 畅，现代，美观 大方。 2.表面工艺按标 准操作工序，使 柜体表面涂层的 硬度，与基材的 结合力、抗冲击 力及涂层厚度均 优于以下国家标 准：GB/T19183 标准、GB/T3047 .2- 1992标准、 GB/T3325-2008 标准及IEC61969 标准。表面采用环 保型防静电涂层 ，涂层表面光洁 、色泽均匀，保 证长期使用不锈 蚀, 操作台框体 结构采用组合式 全拼装设计，可 拆卸成平板包装 ，主体承重架采 用焊接方式；考 虑控制室后期设 备升级改造，操 作台结构有利于 后期设备的增减 材料, 便于现场 拼接安装及后期 增加工位时保证 整体结构不变， 只在两端扩展增 加，达到不影响 当前工作的要求 。 3.操作台钣金部 分采用国产高标 准（Q235）冷轧 钢板制作，承重 结构2.0mm，主 体材料1.5mm， 活动托盘1.2mm （封边焊接）， 门板、键盘抽屉 1.2mm（门板加 工工艺自带加强 筋），桌面及侧 面装饰板采用25 mm-32mm厚高密 度纤维板，表面 平滑，在环境温 、湿度变化时，尺寸稳定性 好，容易进行表 面装饰处理。内 部组织结构细密 均匀，内外一致 ，特别具有密实 的边缘，可加工 成各种异型的边 缘，表面采用金 属烤漆进行涂饰 ，可以取得较好 的美观造型效果 。后靠背采用操 作台专用定制铝 合金型材背板装 饰，可将显示器 支架直接固定在 靠背组件铝型材 上，此完美的结 合解决了工作的 实时性、实用性 及美观。工作台 面1000mm的深度 与专用显示器支 架结合，当显示 器置于最前端时 显示器离台面前 边缘的距离为70 0-750mm,科学的 距离能降低工作 人员的视觉疲劳 ，又不影看清显 示器的内容。键 盘鼠标集成在台 面下方的键鼠托 内，键鼠托的滑 动导轨采用进口 静音家具专用导轨，理论推拉次 数达到10万次以 上。按照每天20 次的推拉计算使 用寿命可达到10 年。综合整体的 设计，使桌面空 间更大，从而解 决了电话机，打 印机及其他设备 的安装和工作资 料的摆放空间。 4.操作台内部空 间大，可互相连 通，内部标准设 计能更大的利用 内部空间，容纳 更多的设备，保 证每台设备之间 有足够大的散热 通风空间，降低 操作台内部温度 ，柜体前后设计 为开关灵活的柜 门，前后门锁采 用AB系列锁具， 操作方便快捷， 有利于设备的安 装及维护。前后 门设计散热孔， 具有较好的散热 通风效果，从而 提高设备运行的 稳定性，更能达 到维护方便，内 部的整体美观。 5. 尺寸(可选) :每工位宽度(80 0/1000/1200)* 深度(900/1000/ 1100)*桌面高度 （780）。</w:t>
            </w:r>
          </w:p>
        </w:tc>
        <w:tc>
          <w:tcPr>
            <w:tcW w:w="783" w:type="dxa"/>
            <w:vAlign w:val="center"/>
          </w:tcPr>
          <w:p>
            <w:pPr>
              <w:spacing w:line="400" w:lineRule="exact"/>
              <w:jc w:val="center"/>
              <w:rPr>
                <w:rFonts w:hint="eastAsia" w:ascii="宋体" w:hAnsi="宋体" w:eastAsia="宋体" w:cs="宋体"/>
                <w:sz w:val="18"/>
                <w:szCs w:val="18"/>
              </w:rPr>
            </w:pPr>
            <w:r>
              <w:rPr>
                <w:rFonts w:hint="eastAsia" w:ascii="宋体" w:hAnsi="宋体" w:eastAsia="宋体" w:cs="宋体"/>
                <w:sz w:val="18"/>
                <w:szCs w:val="18"/>
              </w:rPr>
              <w:t>台</w:t>
            </w:r>
          </w:p>
        </w:tc>
        <w:tc>
          <w:tcPr>
            <w:tcW w:w="849" w:type="dxa"/>
            <w:vAlign w:val="center"/>
          </w:tcPr>
          <w:p>
            <w:pPr>
              <w:spacing w:line="400" w:lineRule="exact"/>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c>
          <w:tcPr>
            <w:tcW w:w="1229" w:type="dxa"/>
            <w:vAlign w:val="center"/>
          </w:tcPr>
          <w:p>
            <w:pPr>
              <w:spacing w:line="240" w:lineRule="exac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4" w:hRule="exact"/>
        </w:trPr>
        <w:tc>
          <w:tcPr>
            <w:tcW w:w="760" w:type="dxa"/>
            <w:vAlign w:val="center"/>
          </w:tcPr>
          <w:p>
            <w:pPr>
              <w:spacing w:line="400" w:lineRule="exact"/>
              <w:jc w:val="center"/>
              <w:rPr>
                <w:rFonts w:hint="eastAsia" w:ascii="宋体" w:hAnsi="宋体" w:eastAsia="宋体" w:cs="宋体"/>
                <w:sz w:val="18"/>
                <w:szCs w:val="18"/>
              </w:rPr>
            </w:pPr>
            <w:r>
              <w:rPr>
                <w:rFonts w:hint="eastAsia" w:ascii="宋体" w:hAnsi="宋体" w:eastAsia="宋体" w:cs="宋体"/>
                <w:sz w:val="18"/>
                <w:szCs w:val="18"/>
              </w:rPr>
              <w:t>3</w:t>
            </w:r>
          </w:p>
        </w:tc>
        <w:tc>
          <w:tcPr>
            <w:tcW w:w="1251" w:type="dxa"/>
            <w:vAlign w:val="center"/>
          </w:tcPr>
          <w:p>
            <w:pPr>
              <w:spacing w:line="400" w:lineRule="exact"/>
              <w:rPr>
                <w:rFonts w:hint="eastAsia" w:ascii="宋体" w:hAnsi="宋体" w:eastAsia="宋体" w:cs="宋体"/>
                <w:sz w:val="18"/>
                <w:szCs w:val="18"/>
              </w:rPr>
            </w:pPr>
            <w:r>
              <w:rPr>
                <w:rFonts w:hint="eastAsia" w:ascii="宋体" w:hAnsi="宋体" w:eastAsia="宋体" w:cs="宋体"/>
                <w:kern w:val="0"/>
                <w:sz w:val="18"/>
                <w:szCs w:val="18"/>
              </w:rPr>
              <w:t>执勤信息系统（统一显控调度软件）</w:t>
            </w:r>
          </w:p>
        </w:tc>
        <w:tc>
          <w:tcPr>
            <w:tcW w:w="1247" w:type="dxa"/>
            <w:vAlign w:val="center"/>
          </w:tcPr>
          <w:p>
            <w:pPr>
              <w:spacing w:line="400" w:lineRule="exact"/>
              <w:rPr>
                <w:rFonts w:hint="eastAsia" w:ascii="宋体" w:hAnsi="宋体" w:eastAsia="宋体" w:cs="宋体"/>
                <w:sz w:val="18"/>
                <w:szCs w:val="18"/>
              </w:rPr>
            </w:pPr>
          </w:p>
        </w:tc>
        <w:tc>
          <w:tcPr>
            <w:tcW w:w="8542" w:type="dxa"/>
            <w:vAlign w:val="center"/>
          </w:tcPr>
          <w:p>
            <w:pPr>
              <w:widowControl/>
              <w:spacing w:line="180" w:lineRule="exact"/>
              <w:jc w:val="left"/>
              <w:rPr>
                <w:rFonts w:hint="eastAsia" w:ascii="宋体" w:hAnsi="宋体" w:eastAsia="宋体" w:cs="宋体"/>
                <w:sz w:val="18"/>
                <w:szCs w:val="18"/>
              </w:rPr>
            </w:pPr>
            <w:r>
              <w:rPr>
                <w:rFonts w:hint="eastAsia" w:ascii="宋体" w:hAnsi="宋体" w:eastAsia="宋体" w:cs="宋体"/>
                <w:sz w:val="18"/>
                <w:szCs w:val="18"/>
              </w:rPr>
              <w:t>1.视频资源接入功能：支持接入海康、宇视、大华等国内主流厂商监控视频，接入哨位集成箱、哨位门禁、智能枪柜、警戒雷达等设备集成视频模块，接入各类电脑主机画面；2.摄像头接入：支持接入网 络摄像机，支持 接入哨位集成箱 、哨位门禁、智 能枪柜、AB门系 统、警戒雷达等 专业设备集成监 控实时观看。支 持基于GIS地图 的视频点播。（ 需提供第三方权 威检测机构出具 的检验报告复印 件佐证，加盖制 造商公章） 3、 信号实时预 览功能：支持对 摄像机、电脑主机视频预 览显示； 4.大屏实时回 显功能：支持实 时查看大屏回显 视频画面，软件 画面与大屏画面 完全同步； ★5.视频上墙 ：可根据勤务需 要设置上墙预案 模板，实现大屏 “ 四一四” 视频 调度。支持一键 调度视频场景预 案，支持哨位执 勤触发报警时， 报警联动视频调 度预案，报警信 息及报警联动的 图像自动上墙； （需提供第三方 权威检测机构出 具的检验报告复 印件佐证，加盖 制造商公章） 6.视频信号轮 询功能：支持在 大屏上设置视频 轮询模式，支持 在屏幕指定区域 循环显示，软件 上可设置需要轮 询的监控信号、 重要电脑信号等 ，设置相应轮询 时间，直接调用 。 7.大屏显示调度功能：通过 直观拖拽方式控 制信号切换、开 窗、叠加、漫游 、大小调整、全 屏、关闭等，对 拼接屏自定义布 局 ★8、视频查勤 管控：支持对摄 像机视频画面进 行图像抓拍、音 频采集、本地录 制、远程录像调 取功能。支持实 时视频播放窗口 OSD叠加显示、 （单位信息、执 勤点、编码器IP 、内线电话、执 勤人员、日期时 间）等相关信息 ，并可设置不显 示某些字幕。（ 需提供第三方权 威检测机构出具 的检验报告复印 件佐证，加盖制 造商公章） ★9、地图控制 ：实现地图的控 制操作(地图平 移、放大、缩小 、全图、旋转、 定位等)功能； 浮动框显示该哨 位执勤哨兵信息 、上哨时间、最 近查勤人员、查勤时间 、弹箱开关状态 。（需提供第三 方权威检测机构 出具的检验报告 复印件佐证，加 盖制造商公章） 10、录像与回放 ：对于正在播放 的实时视频，可 直接录制该视频 到本地服务器上 ，并能正确播放 该视频。支持通 过时间范围、监 控点名称等条件 检索录像文件或 录像视频片段， 并可对录像视频 文件进行播放、 下载等。</w:t>
            </w:r>
          </w:p>
        </w:tc>
        <w:tc>
          <w:tcPr>
            <w:tcW w:w="783" w:type="dxa"/>
            <w:vAlign w:val="center"/>
          </w:tcPr>
          <w:p>
            <w:pPr>
              <w:spacing w:line="400" w:lineRule="exact"/>
              <w:jc w:val="center"/>
              <w:rPr>
                <w:rFonts w:hint="eastAsia" w:ascii="宋体" w:hAnsi="宋体" w:eastAsia="宋体" w:cs="宋体"/>
                <w:sz w:val="18"/>
                <w:szCs w:val="18"/>
              </w:rPr>
            </w:pPr>
            <w:r>
              <w:rPr>
                <w:rFonts w:hint="eastAsia" w:ascii="宋体" w:hAnsi="宋体" w:eastAsia="宋体" w:cs="宋体"/>
                <w:sz w:val="18"/>
                <w:szCs w:val="18"/>
              </w:rPr>
              <w:t>套</w:t>
            </w:r>
          </w:p>
        </w:tc>
        <w:tc>
          <w:tcPr>
            <w:tcW w:w="849" w:type="dxa"/>
            <w:vAlign w:val="center"/>
          </w:tcPr>
          <w:p>
            <w:pPr>
              <w:spacing w:line="400" w:lineRule="exact"/>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4</w:t>
            </w:r>
          </w:p>
        </w:tc>
        <w:tc>
          <w:tcPr>
            <w:tcW w:w="1229" w:type="dxa"/>
            <w:vAlign w:val="center"/>
          </w:tcPr>
          <w:p>
            <w:pPr>
              <w:spacing w:line="240" w:lineRule="exac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exact"/>
        </w:trPr>
        <w:tc>
          <w:tcPr>
            <w:tcW w:w="760" w:type="dxa"/>
            <w:vAlign w:val="center"/>
          </w:tcPr>
          <w:p>
            <w:pPr>
              <w:spacing w:line="400" w:lineRule="exact"/>
              <w:jc w:val="center"/>
              <w:rPr>
                <w:rFonts w:hint="eastAsia" w:ascii="宋体" w:hAnsi="宋体" w:eastAsia="宋体" w:cs="宋体"/>
                <w:sz w:val="18"/>
                <w:szCs w:val="18"/>
              </w:rPr>
            </w:pPr>
            <w:r>
              <w:rPr>
                <w:rFonts w:hint="eastAsia" w:ascii="宋体" w:hAnsi="宋体" w:eastAsia="宋体" w:cs="宋体"/>
                <w:sz w:val="18"/>
                <w:szCs w:val="18"/>
              </w:rPr>
              <w:t>4</w:t>
            </w:r>
          </w:p>
        </w:tc>
        <w:tc>
          <w:tcPr>
            <w:tcW w:w="1251" w:type="dxa"/>
            <w:vAlign w:val="center"/>
          </w:tcPr>
          <w:p>
            <w:pPr>
              <w:spacing w:line="400" w:lineRule="exact"/>
              <w:rPr>
                <w:rFonts w:hint="eastAsia" w:ascii="宋体" w:hAnsi="宋体" w:eastAsia="宋体" w:cs="宋体"/>
                <w:kern w:val="0"/>
                <w:sz w:val="18"/>
                <w:szCs w:val="18"/>
              </w:rPr>
            </w:pPr>
            <w:r>
              <w:rPr>
                <w:rFonts w:hint="eastAsia" w:ascii="宋体" w:hAnsi="宋体" w:eastAsia="宋体" w:cs="宋体"/>
                <w:kern w:val="0"/>
                <w:sz w:val="18"/>
                <w:szCs w:val="18"/>
              </w:rPr>
              <w:t>执勤信息系统（软件升级）</w:t>
            </w:r>
          </w:p>
        </w:tc>
        <w:tc>
          <w:tcPr>
            <w:tcW w:w="1247" w:type="dxa"/>
            <w:vAlign w:val="center"/>
          </w:tcPr>
          <w:p>
            <w:pPr>
              <w:spacing w:line="400" w:lineRule="exact"/>
              <w:rPr>
                <w:rFonts w:hint="eastAsia" w:ascii="宋体" w:hAnsi="宋体" w:eastAsia="宋体" w:cs="宋体"/>
                <w:sz w:val="18"/>
                <w:szCs w:val="18"/>
              </w:rPr>
            </w:pPr>
          </w:p>
        </w:tc>
        <w:tc>
          <w:tcPr>
            <w:tcW w:w="8542" w:type="dxa"/>
            <w:vAlign w:val="center"/>
          </w:tcPr>
          <w:p>
            <w:pPr>
              <w:widowControl/>
              <w:spacing w:line="180" w:lineRule="exact"/>
              <w:jc w:val="left"/>
              <w:rPr>
                <w:rFonts w:hint="eastAsia" w:ascii="宋体" w:hAnsi="宋体" w:eastAsia="宋体" w:cs="宋体"/>
                <w:sz w:val="18"/>
                <w:szCs w:val="18"/>
              </w:rPr>
            </w:pPr>
            <w:r>
              <w:rPr>
                <w:rFonts w:hint="eastAsia" w:ascii="宋体" w:hAnsi="宋体" w:eastAsia="宋体" w:cs="宋体"/>
                <w:sz w:val="18"/>
                <w:szCs w:val="18"/>
              </w:rPr>
              <w:t>1.四个统一：升级满足中队执勤信息软件统一系统功能、统一操作界面、统一协议接口、统一软件版本规范要求；2.综合态势展示：升级综合态势展示功能，支持在态势图中标注“三区一点”监控点位及各类报警设备，通过态势图点击查看，报警时进行联动展示；支持对执勤哨位及执勤设施设备位置进行清晰标识，精准防控；3.视频资源融合：支持接入各主流厂家监控视频，支持接入视频融合网关、哨位集成箱、可视对讲主机、哨位门禁、智能枪柜、电子哨兵、警戒雷达等专业设备集成视频监控模块。支持执勤哨位画面叠加当班执勤哨兵姓名显示、云台控制、视频录像回放、跨物理屏414报警联动预案上墙等功能；4.勤务管理融合：门禁管控∶支持哨位门禁管控，显示申请开门信息，值班员核验远程开门;支持AB门远程管控，显示A门进出人员信息。枪支管控∶实时感知哨位执勤枪支状态，枪支离位触发异常提醒;实时感知备勤室执勤枪柜状态，士兵双人生物认证，值班员核验远程开柜；5.综合报警融合：融合各类异常报警，支持接入警戒雷达、振动光缆、电子围栏、激光对射等高压电网、虚拟越界等各类报警，执勤枪支异常、AB门异常、枪柜异常、弹箱异常等各类异常。支持建立警情分级管理，针对不同异常报警设定不同等级，联动不同预案。一般报警信息通过执勤信息系统信息提示，重点报警信息通过执勤信息系统电子地图自动显示报警防区、关联视频、语音播报，同时推送备勤室、哨位、目标单位，联动大屏显示；6.勤务消息通信融合：勤务消息收发：支持通过系统软件向哨位集成箱下发执勤要领、通知、口令等勤务信息，执勤哨兵查看自动回复功能；多媒体信息发布：支持通过系统软件向多媒体终端发布执勤排班信息、宣传教育视频、图片、执勤报警信息。</w:t>
            </w:r>
          </w:p>
        </w:tc>
        <w:tc>
          <w:tcPr>
            <w:tcW w:w="783" w:type="dxa"/>
            <w:vAlign w:val="center"/>
          </w:tcPr>
          <w:p>
            <w:pPr>
              <w:spacing w:line="400" w:lineRule="exact"/>
              <w:jc w:val="center"/>
              <w:rPr>
                <w:rFonts w:hint="eastAsia" w:ascii="宋体" w:hAnsi="宋体" w:eastAsia="宋体" w:cs="宋体"/>
                <w:sz w:val="18"/>
                <w:szCs w:val="18"/>
              </w:rPr>
            </w:pPr>
            <w:r>
              <w:rPr>
                <w:rFonts w:hint="eastAsia" w:ascii="宋体" w:hAnsi="宋体" w:eastAsia="宋体" w:cs="宋体"/>
                <w:sz w:val="18"/>
                <w:szCs w:val="18"/>
              </w:rPr>
              <w:t>套</w:t>
            </w:r>
          </w:p>
        </w:tc>
        <w:tc>
          <w:tcPr>
            <w:tcW w:w="849" w:type="dxa"/>
            <w:vAlign w:val="center"/>
          </w:tcPr>
          <w:p>
            <w:pPr>
              <w:spacing w:line="400" w:lineRule="exact"/>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c>
          <w:tcPr>
            <w:tcW w:w="1229" w:type="dxa"/>
            <w:vAlign w:val="center"/>
          </w:tcPr>
          <w:p>
            <w:pPr>
              <w:spacing w:line="240" w:lineRule="exact"/>
              <w:jc w:val="center"/>
              <w:rPr>
                <w:sz w:val="1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exact"/>
        </w:trPr>
        <w:tc>
          <w:tcPr>
            <w:tcW w:w="760" w:type="dxa"/>
            <w:vAlign w:val="center"/>
          </w:tcPr>
          <w:p>
            <w:pPr>
              <w:spacing w:line="400" w:lineRule="exact"/>
              <w:jc w:val="center"/>
              <w:rPr>
                <w:rFonts w:hint="eastAsia" w:ascii="宋体" w:hAnsi="宋体" w:eastAsia="宋体" w:cs="宋体"/>
                <w:sz w:val="18"/>
                <w:szCs w:val="18"/>
              </w:rPr>
            </w:pPr>
            <w:r>
              <w:rPr>
                <w:rFonts w:hint="eastAsia" w:ascii="宋体" w:hAnsi="宋体" w:eastAsia="宋体" w:cs="宋体"/>
                <w:sz w:val="18"/>
                <w:szCs w:val="18"/>
              </w:rPr>
              <w:t>5</w:t>
            </w:r>
          </w:p>
        </w:tc>
        <w:tc>
          <w:tcPr>
            <w:tcW w:w="1251" w:type="dxa"/>
            <w:vAlign w:val="center"/>
          </w:tcPr>
          <w:p>
            <w:pPr>
              <w:spacing w:line="400" w:lineRule="exact"/>
              <w:rPr>
                <w:rFonts w:hint="eastAsia" w:ascii="宋体" w:hAnsi="宋体" w:eastAsia="宋体" w:cs="宋体"/>
                <w:sz w:val="18"/>
                <w:szCs w:val="18"/>
              </w:rPr>
            </w:pPr>
            <w:r>
              <w:rPr>
                <w:rFonts w:hint="eastAsia" w:ascii="宋体" w:hAnsi="宋体" w:eastAsia="宋体" w:cs="宋体"/>
                <w:kern w:val="0"/>
                <w:sz w:val="18"/>
                <w:szCs w:val="18"/>
              </w:rPr>
              <w:t>执勤信息系统（工作清单）</w:t>
            </w:r>
          </w:p>
        </w:tc>
        <w:tc>
          <w:tcPr>
            <w:tcW w:w="1247" w:type="dxa"/>
            <w:vAlign w:val="center"/>
          </w:tcPr>
          <w:p>
            <w:pPr>
              <w:spacing w:line="400" w:lineRule="exact"/>
              <w:rPr>
                <w:rFonts w:hint="eastAsia" w:ascii="宋体" w:hAnsi="宋体" w:eastAsia="宋体" w:cs="宋体"/>
                <w:sz w:val="18"/>
                <w:szCs w:val="18"/>
              </w:rPr>
            </w:pPr>
          </w:p>
        </w:tc>
        <w:tc>
          <w:tcPr>
            <w:tcW w:w="8542" w:type="dxa"/>
            <w:vAlign w:val="center"/>
          </w:tcPr>
          <w:p>
            <w:pPr>
              <w:spacing w:line="200" w:lineRule="exact"/>
              <w:jc w:val="left"/>
              <w:rPr>
                <w:rFonts w:hint="eastAsia" w:ascii="宋体" w:hAnsi="宋体" w:eastAsia="宋体" w:cs="宋体"/>
                <w:sz w:val="18"/>
                <w:szCs w:val="18"/>
              </w:rPr>
            </w:pPr>
            <w:r>
              <w:rPr>
                <w:rFonts w:hint="eastAsia" w:ascii="宋体" w:hAnsi="宋体" w:eastAsia="宋体" w:cs="宋体"/>
                <w:sz w:val="18"/>
                <w:szCs w:val="18"/>
              </w:rPr>
              <w:t>1、支持显示作战勤务值班员当天工作清单内容，到时自动弹窗和语音提醒，未到时无法提前操作；2、支持工作清单履行情况自动判定，软件自动记录查勤人员各类操作，系统判定工作清单内容是否履行；3、支持自动加载执勤日记簿，可手工编辑内容；4、支持设置查勤工作清单内容，查勤人员通过哨位指纹验证，自动弹出该哨位查勤需履行的工作清单内容；5、支持勤务部署转换调整，值班员通过哨位指纹验证并与值班室对讲，软件自动记录操作内容，系统判定工作清单内容是否履行；6、支持分时段显示监控员、领班员、哨兵工作清单内容，到时自动弹窗和语音提醒，未到时无法提前操作；7、软件无法记录的工作清单内容，如：定点目视警戒区等，支持手动确认；8、支持动态工作清单手动确认，如:重点时段协助哨兵执勤、加强重点区域部位巡控、应急处置执勤突发情况等；9、支持显示各哨位工作清单履行情况，以可视化显示各时段工作清单总数量、当前已完成数量，对各哨位履职情况进行有效监督；10、支持可视化图表展示每班哨执勤考评成绩，包括上哨时间、哨位名称、班次、哨兵姓名、工作清单得分、网络查勤得分、实地查勤得分、综合得分等。</w:t>
            </w:r>
          </w:p>
        </w:tc>
        <w:tc>
          <w:tcPr>
            <w:tcW w:w="783" w:type="dxa"/>
            <w:vAlign w:val="center"/>
          </w:tcPr>
          <w:p>
            <w:pPr>
              <w:spacing w:line="400" w:lineRule="exact"/>
              <w:jc w:val="center"/>
              <w:rPr>
                <w:rFonts w:hint="eastAsia" w:ascii="宋体" w:hAnsi="宋体" w:eastAsia="宋体" w:cs="宋体"/>
                <w:sz w:val="18"/>
                <w:szCs w:val="18"/>
              </w:rPr>
            </w:pPr>
            <w:r>
              <w:rPr>
                <w:rFonts w:hint="eastAsia" w:ascii="宋体" w:hAnsi="宋体" w:eastAsia="宋体" w:cs="宋体"/>
                <w:sz w:val="18"/>
                <w:szCs w:val="18"/>
              </w:rPr>
              <w:t>套</w:t>
            </w:r>
          </w:p>
        </w:tc>
        <w:tc>
          <w:tcPr>
            <w:tcW w:w="849" w:type="dxa"/>
            <w:vAlign w:val="center"/>
          </w:tcPr>
          <w:p>
            <w:pPr>
              <w:spacing w:line="400" w:lineRule="exact"/>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c>
          <w:tcPr>
            <w:tcW w:w="1229" w:type="dxa"/>
            <w:vAlign w:val="center"/>
          </w:tcPr>
          <w:p>
            <w:pPr>
              <w:spacing w:line="240" w:lineRule="exact"/>
              <w:jc w:val="center"/>
              <w:rPr>
                <w:sz w:val="1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exact"/>
        </w:trPr>
        <w:tc>
          <w:tcPr>
            <w:tcW w:w="760" w:type="dxa"/>
            <w:vAlign w:val="center"/>
          </w:tcPr>
          <w:p>
            <w:pPr>
              <w:spacing w:line="400" w:lineRule="exact"/>
              <w:jc w:val="center"/>
              <w:rPr>
                <w:rFonts w:hint="eastAsia" w:ascii="宋体" w:hAnsi="宋体" w:eastAsia="宋体" w:cs="宋体"/>
                <w:sz w:val="18"/>
                <w:szCs w:val="18"/>
              </w:rPr>
            </w:pPr>
            <w:r>
              <w:rPr>
                <w:rFonts w:hint="eastAsia" w:ascii="宋体" w:hAnsi="宋体" w:eastAsia="宋体" w:cs="宋体"/>
                <w:sz w:val="18"/>
                <w:szCs w:val="18"/>
              </w:rPr>
              <w:t>6</w:t>
            </w:r>
          </w:p>
        </w:tc>
        <w:tc>
          <w:tcPr>
            <w:tcW w:w="1251" w:type="dxa"/>
            <w:vAlign w:val="center"/>
          </w:tcPr>
          <w:p>
            <w:pPr>
              <w:widowControl/>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分布式输入节点</w:t>
            </w:r>
          </w:p>
        </w:tc>
        <w:tc>
          <w:tcPr>
            <w:tcW w:w="1247" w:type="dxa"/>
            <w:vAlign w:val="center"/>
          </w:tcPr>
          <w:p>
            <w:pPr>
              <w:spacing w:line="400" w:lineRule="exact"/>
              <w:rPr>
                <w:rFonts w:hint="eastAsia" w:ascii="宋体" w:hAnsi="宋体" w:eastAsia="宋体" w:cs="宋体"/>
                <w:sz w:val="18"/>
                <w:szCs w:val="18"/>
              </w:rPr>
            </w:pPr>
          </w:p>
        </w:tc>
        <w:tc>
          <w:tcPr>
            <w:tcW w:w="8542" w:type="dxa"/>
            <w:vAlign w:val="center"/>
          </w:tcPr>
          <w:p>
            <w:pPr>
              <w:spacing w:line="200" w:lineRule="exact"/>
              <w:jc w:val="left"/>
              <w:rPr>
                <w:rFonts w:hint="eastAsia" w:ascii="宋体" w:hAnsi="宋体" w:eastAsia="宋体" w:cs="宋体"/>
                <w:sz w:val="18"/>
                <w:szCs w:val="18"/>
              </w:rPr>
            </w:pPr>
            <w:r>
              <w:rPr>
                <w:rFonts w:hint="eastAsia" w:ascii="宋体" w:hAnsi="宋体" w:eastAsia="宋体" w:cs="宋体"/>
                <w:sz w:val="18"/>
                <w:szCs w:val="18"/>
              </w:rPr>
              <w:t>1.1路HDMI输入、1路HDMI输出、1路音频输入、1路音频输出、1路网口；2.支持RS232、IO/IR控制接口；3.支持POE, DC电源互备；4.支持输入输出1080P@60Hz及以下分辨率、输入输出配高质HDMI线最少10米；5.支持5类以上网线100米，支持PoE供电建议80米。（与交换机性能相关）</w:t>
            </w:r>
            <w:r>
              <w:rPr>
                <w:rFonts w:hint="eastAsia" w:ascii="宋体" w:hAnsi="宋体" w:eastAsia="宋体" w:cs="宋体"/>
                <w:sz w:val="18"/>
                <w:szCs w:val="18"/>
              </w:rPr>
              <w:br w:type="textWrapping"/>
            </w:r>
            <w:r>
              <w:rPr>
                <w:rFonts w:hint="eastAsia" w:ascii="宋体" w:hAnsi="宋体" w:eastAsia="宋体" w:cs="宋体"/>
                <w:sz w:val="18"/>
                <w:szCs w:val="18"/>
              </w:rPr>
              <w:t>6.支持H.264、H265编码；7.支持无缝切换，字符叠加，台标功能；8.支持底图，滚动字幕；9.支持信号预览、回显；10.支持多屏组管理控制；11.支持KVM功能，实时性好，坐席输入源预编组调度功能；12.支持亮度、色彩调整；13、支持定制客户端界面；14、支持LCD, DLP拼接处理；15. 支持可视化管理；16. 支持可编程化控制管理；17.支持系统信息、内存利用率、CPU利用率、端口速率实时查询。</w:t>
            </w:r>
          </w:p>
        </w:tc>
        <w:tc>
          <w:tcPr>
            <w:tcW w:w="783" w:type="dxa"/>
            <w:vAlign w:val="center"/>
          </w:tcPr>
          <w:p>
            <w:pPr>
              <w:spacing w:line="400" w:lineRule="exact"/>
              <w:jc w:val="center"/>
              <w:rPr>
                <w:rFonts w:hint="eastAsia" w:ascii="宋体" w:hAnsi="宋体" w:eastAsia="宋体" w:cs="宋体"/>
                <w:sz w:val="18"/>
                <w:szCs w:val="18"/>
              </w:rPr>
            </w:pPr>
            <w:r>
              <w:rPr>
                <w:rFonts w:hint="eastAsia" w:ascii="宋体" w:hAnsi="宋体" w:eastAsia="宋体" w:cs="宋体"/>
                <w:sz w:val="18"/>
                <w:szCs w:val="18"/>
              </w:rPr>
              <w:t>台</w:t>
            </w:r>
          </w:p>
        </w:tc>
        <w:tc>
          <w:tcPr>
            <w:tcW w:w="849" w:type="dxa"/>
            <w:vAlign w:val="center"/>
          </w:tcPr>
          <w:p>
            <w:pPr>
              <w:spacing w:line="400" w:lineRule="exact"/>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8</w:t>
            </w:r>
          </w:p>
        </w:tc>
        <w:tc>
          <w:tcPr>
            <w:tcW w:w="1229" w:type="dxa"/>
            <w:vAlign w:val="center"/>
          </w:tcPr>
          <w:p>
            <w:pPr>
              <w:spacing w:line="240" w:lineRule="exact"/>
              <w:jc w:val="center"/>
              <w:rPr>
                <w:sz w:val="1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exact"/>
        </w:trPr>
        <w:tc>
          <w:tcPr>
            <w:tcW w:w="760" w:type="dxa"/>
            <w:vAlign w:val="center"/>
          </w:tcPr>
          <w:p>
            <w:pPr>
              <w:spacing w:line="400" w:lineRule="exact"/>
              <w:jc w:val="center"/>
              <w:rPr>
                <w:rFonts w:hint="eastAsia" w:ascii="宋体" w:hAnsi="宋体" w:eastAsia="宋体" w:cs="宋体"/>
                <w:sz w:val="18"/>
                <w:szCs w:val="18"/>
              </w:rPr>
            </w:pPr>
            <w:r>
              <w:rPr>
                <w:rFonts w:hint="eastAsia" w:ascii="宋体" w:hAnsi="宋体" w:eastAsia="宋体" w:cs="宋体"/>
                <w:sz w:val="18"/>
                <w:szCs w:val="18"/>
              </w:rPr>
              <w:t>7</w:t>
            </w:r>
          </w:p>
        </w:tc>
        <w:tc>
          <w:tcPr>
            <w:tcW w:w="1251" w:type="dxa"/>
            <w:vAlign w:val="center"/>
          </w:tcPr>
          <w:p>
            <w:pPr>
              <w:widowControl/>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 xml:space="preserve">分布式输出节点  </w:t>
            </w:r>
          </w:p>
        </w:tc>
        <w:tc>
          <w:tcPr>
            <w:tcW w:w="1247" w:type="dxa"/>
            <w:vAlign w:val="center"/>
          </w:tcPr>
          <w:p>
            <w:pPr>
              <w:spacing w:line="400" w:lineRule="exact"/>
              <w:rPr>
                <w:rFonts w:hint="eastAsia" w:ascii="宋体" w:hAnsi="宋体" w:eastAsia="宋体" w:cs="宋体"/>
                <w:sz w:val="18"/>
                <w:szCs w:val="18"/>
              </w:rPr>
            </w:pPr>
          </w:p>
        </w:tc>
        <w:tc>
          <w:tcPr>
            <w:tcW w:w="8542" w:type="dxa"/>
            <w:vAlign w:val="center"/>
          </w:tcPr>
          <w:p>
            <w:pPr>
              <w:spacing w:line="200" w:lineRule="exact"/>
              <w:jc w:val="left"/>
              <w:rPr>
                <w:rFonts w:hint="eastAsia" w:ascii="宋体" w:hAnsi="宋体" w:eastAsia="宋体" w:cs="宋体"/>
                <w:sz w:val="18"/>
                <w:szCs w:val="18"/>
              </w:rPr>
            </w:pPr>
            <w:r>
              <w:rPr>
                <w:rFonts w:hint="eastAsia" w:ascii="宋体" w:hAnsi="宋体" w:eastAsia="宋体" w:cs="宋体"/>
                <w:sz w:val="18"/>
                <w:szCs w:val="18"/>
              </w:rPr>
              <w:t>1.1路HDMI输入、1路HDMI输出、1路音频输入、1路音频输出、1路网口、1路光口（双纤SFP）2.支持RS232、RS485、IO/IR和Relay控制接口；3.支持光网双备份；4.支持输入输出4K@30Hz、1080P@60Hz及以下分辨率、输入输出配高质HDMI线最少10米；5.支持5类以上网线100米，支持PoE供电建议80米。（与交换机性能相关、光纤距离和选用的光模块相关。）；6.支持H.264编码</w:t>
            </w:r>
          </w:p>
          <w:p>
            <w:pPr>
              <w:spacing w:line="200" w:lineRule="exact"/>
              <w:jc w:val="left"/>
              <w:rPr>
                <w:rFonts w:hint="eastAsia" w:ascii="宋体" w:hAnsi="宋体" w:eastAsia="宋体" w:cs="宋体"/>
                <w:sz w:val="18"/>
                <w:szCs w:val="18"/>
              </w:rPr>
            </w:pPr>
            <w:r>
              <w:rPr>
                <w:rFonts w:hint="eastAsia" w:ascii="宋体" w:hAnsi="宋体" w:eastAsia="宋体" w:cs="宋体"/>
                <w:sz w:val="18"/>
                <w:szCs w:val="18"/>
              </w:rPr>
              <w:t>7.支持无缝切换，字符叠加，台标功能；8.支持底图，滚动字幕；9.支持信号预览、回显；10.支持多屏组管理控制；11.支持KVM功能，实时性好，坐席输入源预编组调度功能；12.支持亮度、色彩调整；13.支持定制客户端界面；14.支持LCD,LED和DLP拼接处理；15.支持可视化管理；16.支持可编程化控制管理；17.支持常规IPC源解码；18.支持系统信息、内存利用率、CPU利用率、端口速率等实时查询</w:t>
            </w:r>
          </w:p>
        </w:tc>
        <w:tc>
          <w:tcPr>
            <w:tcW w:w="783" w:type="dxa"/>
            <w:vAlign w:val="center"/>
          </w:tcPr>
          <w:p>
            <w:pPr>
              <w:spacing w:line="400" w:lineRule="exact"/>
              <w:jc w:val="center"/>
              <w:rPr>
                <w:rFonts w:hint="eastAsia" w:ascii="宋体" w:hAnsi="宋体" w:eastAsia="宋体" w:cs="宋体"/>
                <w:sz w:val="18"/>
                <w:szCs w:val="18"/>
              </w:rPr>
            </w:pPr>
            <w:r>
              <w:rPr>
                <w:rFonts w:hint="eastAsia" w:ascii="宋体" w:hAnsi="宋体" w:eastAsia="宋体" w:cs="宋体"/>
                <w:sz w:val="18"/>
                <w:szCs w:val="18"/>
              </w:rPr>
              <w:t>台</w:t>
            </w:r>
          </w:p>
        </w:tc>
        <w:tc>
          <w:tcPr>
            <w:tcW w:w="849" w:type="dxa"/>
            <w:vAlign w:val="center"/>
          </w:tcPr>
          <w:p>
            <w:pPr>
              <w:spacing w:line="40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229" w:type="dxa"/>
            <w:vAlign w:val="center"/>
          </w:tcPr>
          <w:p>
            <w:pPr>
              <w:spacing w:line="240" w:lineRule="exac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trPr>
        <w:tc>
          <w:tcPr>
            <w:tcW w:w="760" w:type="dxa"/>
            <w:vAlign w:val="center"/>
          </w:tcPr>
          <w:p>
            <w:pPr>
              <w:spacing w:line="40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8</w:t>
            </w:r>
          </w:p>
        </w:tc>
        <w:tc>
          <w:tcPr>
            <w:tcW w:w="1251" w:type="dxa"/>
            <w:vAlign w:val="center"/>
          </w:tcPr>
          <w:p>
            <w:pPr>
              <w:widowControl/>
              <w:jc w:val="left"/>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客户端电脑</w:t>
            </w:r>
          </w:p>
        </w:tc>
        <w:tc>
          <w:tcPr>
            <w:tcW w:w="1247" w:type="dxa"/>
            <w:vAlign w:val="center"/>
          </w:tcPr>
          <w:p>
            <w:pPr>
              <w:spacing w:line="400" w:lineRule="exact"/>
              <w:rPr>
                <w:rFonts w:hint="eastAsia" w:ascii="宋体" w:hAnsi="宋体" w:eastAsia="宋体" w:cs="宋体"/>
                <w:sz w:val="18"/>
                <w:szCs w:val="18"/>
                <w:highlight w:val="none"/>
              </w:rPr>
            </w:pPr>
          </w:p>
        </w:tc>
        <w:tc>
          <w:tcPr>
            <w:tcW w:w="8542" w:type="dxa"/>
            <w:vAlign w:val="center"/>
          </w:tcPr>
          <w:p>
            <w:pPr>
              <w:spacing w:line="200" w:lineRule="exact"/>
              <w:jc w:val="left"/>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1.设备类型：工作站；操作系统银河麒麟V4.0.2；2.主处理器：腾锐D2000，8核，2.3GHZ；固件：昆仑固件V4.0；内存DDR4，2*8GB=16GB；硬盘：固态盘，容量512GB；显存2GB；光驱：内置DVD-RW光驱；功耗：50W</w:t>
            </w:r>
          </w:p>
        </w:tc>
        <w:tc>
          <w:tcPr>
            <w:tcW w:w="783" w:type="dxa"/>
            <w:vAlign w:val="center"/>
          </w:tcPr>
          <w:p>
            <w:pPr>
              <w:spacing w:line="40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台</w:t>
            </w:r>
          </w:p>
        </w:tc>
        <w:tc>
          <w:tcPr>
            <w:tcW w:w="849" w:type="dxa"/>
            <w:vAlign w:val="center"/>
          </w:tcPr>
          <w:p>
            <w:pPr>
              <w:spacing w:line="400" w:lineRule="exact"/>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2</w:t>
            </w:r>
          </w:p>
        </w:tc>
        <w:tc>
          <w:tcPr>
            <w:tcW w:w="1229" w:type="dxa"/>
            <w:vAlign w:val="center"/>
          </w:tcPr>
          <w:p>
            <w:pPr>
              <w:spacing w:line="240" w:lineRule="exact"/>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exact"/>
        </w:trPr>
        <w:tc>
          <w:tcPr>
            <w:tcW w:w="760" w:type="dxa"/>
            <w:vAlign w:val="center"/>
          </w:tcPr>
          <w:p>
            <w:pPr>
              <w:spacing w:line="400" w:lineRule="exact"/>
              <w:jc w:val="center"/>
              <w:rPr>
                <w:rFonts w:hint="eastAsia" w:ascii="宋体" w:hAnsi="宋体" w:eastAsia="宋体" w:cs="宋体"/>
                <w:sz w:val="18"/>
                <w:szCs w:val="18"/>
              </w:rPr>
            </w:pPr>
            <w:r>
              <w:rPr>
                <w:rFonts w:hint="eastAsia" w:ascii="宋体" w:hAnsi="宋体" w:eastAsia="宋体" w:cs="宋体"/>
                <w:sz w:val="18"/>
                <w:szCs w:val="18"/>
              </w:rPr>
              <w:t>9</w:t>
            </w:r>
          </w:p>
        </w:tc>
        <w:tc>
          <w:tcPr>
            <w:tcW w:w="1251" w:type="dxa"/>
            <w:vAlign w:val="center"/>
          </w:tcPr>
          <w:p>
            <w:pPr>
              <w:widowControl/>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千兆管理型交换机</w:t>
            </w:r>
          </w:p>
        </w:tc>
        <w:tc>
          <w:tcPr>
            <w:tcW w:w="1247" w:type="dxa"/>
            <w:vAlign w:val="center"/>
          </w:tcPr>
          <w:p>
            <w:pPr>
              <w:spacing w:line="400" w:lineRule="exact"/>
              <w:rPr>
                <w:rFonts w:hint="eastAsia" w:ascii="宋体" w:hAnsi="宋体" w:eastAsia="宋体" w:cs="宋体"/>
                <w:sz w:val="18"/>
                <w:szCs w:val="18"/>
              </w:rPr>
            </w:pPr>
          </w:p>
        </w:tc>
        <w:tc>
          <w:tcPr>
            <w:tcW w:w="8542" w:type="dxa"/>
            <w:vAlign w:val="center"/>
          </w:tcPr>
          <w:p>
            <w:pPr>
              <w:spacing w:line="200" w:lineRule="exact"/>
              <w:jc w:val="left"/>
              <w:rPr>
                <w:rFonts w:hint="eastAsia" w:ascii="宋体" w:hAnsi="宋体" w:eastAsia="宋体" w:cs="宋体"/>
                <w:sz w:val="18"/>
                <w:szCs w:val="18"/>
              </w:rPr>
            </w:pPr>
            <w:r>
              <w:rPr>
                <w:rFonts w:hint="eastAsia" w:ascii="宋体" w:hAnsi="宋体" w:eastAsia="宋体" w:cs="宋体"/>
                <w:sz w:val="18"/>
                <w:szCs w:val="18"/>
              </w:rPr>
              <w:t>1.24个千兆网口+4个千兆SFP口+1个管理端口</w:t>
            </w:r>
          </w:p>
          <w:p>
            <w:pPr>
              <w:spacing w:line="200" w:lineRule="exact"/>
              <w:jc w:val="left"/>
              <w:rPr>
                <w:rFonts w:hint="eastAsia" w:ascii="宋体" w:hAnsi="宋体" w:eastAsia="宋体" w:cs="宋体"/>
                <w:sz w:val="18"/>
                <w:szCs w:val="18"/>
              </w:rPr>
            </w:pPr>
            <w:r>
              <w:rPr>
                <w:rFonts w:hint="eastAsia" w:ascii="宋体" w:hAnsi="宋体" w:eastAsia="宋体" w:cs="宋体"/>
                <w:sz w:val="18"/>
                <w:szCs w:val="18"/>
              </w:rPr>
              <w:t>2.IEEE802.3/IEEE802.3i/IEEE802.3u/IEEE802.3ab/IEEE802.3z，存储转发；3.以太网端口支持10/100/1000M自适应；4.采用存储转发的交换机制；5.面板指示灯监控工作状态及帮助故障分析</w:t>
            </w:r>
          </w:p>
          <w:p>
            <w:pPr>
              <w:spacing w:line="200" w:lineRule="exact"/>
              <w:jc w:val="left"/>
              <w:rPr>
                <w:rFonts w:hint="eastAsia" w:ascii="宋体" w:hAnsi="宋体" w:eastAsia="宋体" w:cs="宋体"/>
                <w:sz w:val="18"/>
                <w:szCs w:val="18"/>
              </w:rPr>
            </w:pPr>
            <w:r>
              <w:rPr>
                <w:rFonts w:hint="eastAsia" w:ascii="宋体" w:hAnsi="宋体" w:eastAsia="宋体" w:cs="宋体"/>
                <w:sz w:val="18"/>
                <w:szCs w:val="18"/>
              </w:rPr>
              <w:t>6.特性与无风扇、自然冷却、1U机架式安装；7.802.1x端口认证，支持AAA认证，支持TACACS+认证；8.WEB,TELNET,CLI,SSH,SNMP,RMON管理</w:t>
            </w:r>
          </w:p>
        </w:tc>
        <w:tc>
          <w:tcPr>
            <w:tcW w:w="783" w:type="dxa"/>
            <w:vAlign w:val="center"/>
          </w:tcPr>
          <w:p>
            <w:pPr>
              <w:spacing w:line="400" w:lineRule="exact"/>
              <w:jc w:val="center"/>
              <w:rPr>
                <w:rFonts w:hint="eastAsia" w:ascii="宋体" w:hAnsi="宋体" w:eastAsia="宋体" w:cs="宋体"/>
                <w:sz w:val="18"/>
                <w:szCs w:val="18"/>
              </w:rPr>
            </w:pPr>
            <w:r>
              <w:rPr>
                <w:rFonts w:hint="eastAsia" w:ascii="宋体" w:hAnsi="宋体" w:eastAsia="宋体" w:cs="宋体"/>
                <w:sz w:val="18"/>
                <w:szCs w:val="18"/>
              </w:rPr>
              <w:t>台</w:t>
            </w:r>
          </w:p>
        </w:tc>
        <w:tc>
          <w:tcPr>
            <w:tcW w:w="849" w:type="dxa"/>
            <w:vAlign w:val="center"/>
          </w:tcPr>
          <w:p>
            <w:pPr>
              <w:spacing w:line="400" w:lineRule="exact"/>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c>
          <w:tcPr>
            <w:tcW w:w="1229" w:type="dxa"/>
            <w:vAlign w:val="center"/>
          </w:tcPr>
          <w:p>
            <w:pPr>
              <w:spacing w:line="240" w:lineRule="exac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760" w:type="dxa"/>
            <w:vAlign w:val="center"/>
          </w:tcPr>
          <w:p>
            <w:pPr>
              <w:spacing w:line="400" w:lineRule="exact"/>
              <w:jc w:val="center"/>
              <w:rPr>
                <w:rFonts w:hint="eastAsia" w:ascii="宋体" w:hAnsi="宋体" w:eastAsia="宋体" w:cs="宋体"/>
                <w:sz w:val="18"/>
                <w:szCs w:val="18"/>
              </w:rPr>
            </w:pPr>
            <w:r>
              <w:rPr>
                <w:rFonts w:hint="eastAsia" w:ascii="宋体" w:hAnsi="宋体" w:eastAsia="宋体" w:cs="宋体"/>
                <w:sz w:val="18"/>
                <w:szCs w:val="18"/>
              </w:rPr>
              <w:t>10</w:t>
            </w:r>
          </w:p>
        </w:tc>
        <w:tc>
          <w:tcPr>
            <w:tcW w:w="1251" w:type="dxa"/>
            <w:vAlign w:val="center"/>
          </w:tcPr>
          <w:p>
            <w:pPr>
              <w:widowControl/>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对讲网关</w:t>
            </w:r>
          </w:p>
        </w:tc>
        <w:tc>
          <w:tcPr>
            <w:tcW w:w="1247" w:type="dxa"/>
            <w:vAlign w:val="center"/>
          </w:tcPr>
          <w:p>
            <w:pPr>
              <w:spacing w:line="400" w:lineRule="exact"/>
              <w:rPr>
                <w:rFonts w:hint="eastAsia" w:ascii="宋体" w:hAnsi="宋体" w:eastAsia="宋体" w:cs="宋体"/>
                <w:sz w:val="18"/>
                <w:szCs w:val="18"/>
              </w:rPr>
            </w:pPr>
          </w:p>
        </w:tc>
        <w:tc>
          <w:tcPr>
            <w:tcW w:w="8542" w:type="dxa"/>
            <w:vAlign w:val="center"/>
          </w:tcPr>
          <w:p>
            <w:pPr>
              <w:spacing w:line="200" w:lineRule="exact"/>
              <w:jc w:val="left"/>
              <w:rPr>
                <w:rFonts w:hint="eastAsia" w:ascii="宋体" w:hAnsi="宋体" w:eastAsia="宋体" w:cs="宋体"/>
                <w:sz w:val="18"/>
                <w:szCs w:val="18"/>
              </w:rPr>
            </w:pPr>
            <w:r>
              <w:rPr>
                <w:rFonts w:hint="eastAsia" w:ascii="宋体" w:hAnsi="宋体" w:eastAsia="宋体" w:cs="宋体"/>
                <w:sz w:val="18"/>
                <w:szCs w:val="18"/>
              </w:rPr>
              <w:t>1.用户可自由选配模拟分机、模拟外线、E1数字中继与手机卡外线；2.内置众多先进的免费通信功能；3.适用多种通信方案；4.支持在PC、手机或平板上进行本地或远程管理；5.用户数：100</w:t>
            </w:r>
          </w:p>
          <w:p>
            <w:pPr>
              <w:spacing w:line="200" w:lineRule="exact"/>
              <w:jc w:val="left"/>
              <w:rPr>
                <w:rFonts w:hint="eastAsia" w:ascii="宋体" w:hAnsi="宋体" w:eastAsia="宋体" w:cs="宋体"/>
                <w:sz w:val="18"/>
                <w:szCs w:val="18"/>
              </w:rPr>
            </w:pPr>
            <w:r>
              <w:rPr>
                <w:rFonts w:hint="eastAsia" w:ascii="宋体" w:hAnsi="宋体" w:eastAsia="宋体" w:cs="宋体"/>
                <w:sz w:val="18"/>
                <w:szCs w:val="18"/>
              </w:rPr>
              <w:t>6.通话并发数：30；7.支持2个FXO口+2个FXS口</w:t>
            </w:r>
          </w:p>
        </w:tc>
        <w:tc>
          <w:tcPr>
            <w:tcW w:w="783" w:type="dxa"/>
            <w:vAlign w:val="center"/>
          </w:tcPr>
          <w:p>
            <w:pPr>
              <w:spacing w:line="400" w:lineRule="exact"/>
              <w:jc w:val="center"/>
              <w:rPr>
                <w:rFonts w:hint="eastAsia" w:ascii="宋体" w:hAnsi="宋体" w:eastAsia="宋体" w:cs="宋体"/>
                <w:sz w:val="18"/>
                <w:szCs w:val="18"/>
              </w:rPr>
            </w:pPr>
            <w:r>
              <w:rPr>
                <w:rFonts w:hint="eastAsia" w:ascii="宋体" w:hAnsi="宋体" w:eastAsia="宋体" w:cs="宋体"/>
                <w:sz w:val="18"/>
                <w:szCs w:val="18"/>
              </w:rPr>
              <w:t>台</w:t>
            </w:r>
          </w:p>
        </w:tc>
        <w:tc>
          <w:tcPr>
            <w:tcW w:w="849" w:type="dxa"/>
            <w:vAlign w:val="center"/>
          </w:tcPr>
          <w:p>
            <w:pPr>
              <w:spacing w:line="400" w:lineRule="exact"/>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c>
          <w:tcPr>
            <w:tcW w:w="1229" w:type="dxa"/>
            <w:vAlign w:val="center"/>
          </w:tcPr>
          <w:p>
            <w:pPr>
              <w:spacing w:line="240" w:lineRule="exac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exact"/>
        </w:trPr>
        <w:tc>
          <w:tcPr>
            <w:tcW w:w="760" w:type="dxa"/>
            <w:vAlign w:val="center"/>
          </w:tcPr>
          <w:p>
            <w:pPr>
              <w:spacing w:line="40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1251" w:type="dxa"/>
            <w:vAlign w:val="center"/>
          </w:tcPr>
          <w:p>
            <w:pPr>
              <w:widowControl/>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IP网络分机</w:t>
            </w:r>
          </w:p>
        </w:tc>
        <w:tc>
          <w:tcPr>
            <w:tcW w:w="1247" w:type="dxa"/>
            <w:vAlign w:val="center"/>
          </w:tcPr>
          <w:p>
            <w:pPr>
              <w:widowControl/>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国产</w:t>
            </w:r>
          </w:p>
        </w:tc>
        <w:tc>
          <w:tcPr>
            <w:tcW w:w="8542" w:type="dxa"/>
            <w:vAlign w:val="center"/>
          </w:tcPr>
          <w:p>
            <w:pPr>
              <w:spacing w:line="200" w:lineRule="exact"/>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呼叫/报警：可向IP网络主机呼叫/报警；2.双工对讲：可与IP网络主机双工对讲；3.监听：可接收IP网络主机的监听，可作监听头用；4.喧哗报警：分机处于持续喧哗并超过一定分贝时，可自动向主机发出报警；5.广播播放：可通过网络接收主机的MP3文件广播或喊话；6.VOIP电话接入：支持标准SIP通讯协议，可与VOIP电话进行双向对讲；7.消防强切：当有消防报警时，自动将广播声音强切到最大音量；8.指令控制：可以接受第三方软件的控制指令，播放指定的音频文件；9.报警联动：报警呼叫时，通过TCP连接与其它平台联动。如：开启监控摄像头；10.数据保密：对传输中的数据进行加密，以防止他人窃听利用，使通话更安全；11.在线检测：可实时检测分机的在线状态，方便调试、检修和维护。</w:t>
            </w:r>
          </w:p>
        </w:tc>
        <w:tc>
          <w:tcPr>
            <w:tcW w:w="783" w:type="dxa"/>
            <w:vAlign w:val="center"/>
          </w:tcPr>
          <w:p>
            <w:pPr>
              <w:widowControl/>
              <w:jc w:val="center"/>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台</w:t>
            </w:r>
          </w:p>
        </w:tc>
        <w:tc>
          <w:tcPr>
            <w:tcW w:w="849" w:type="dxa"/>
            <w:vAlign w:val="center"/>
          </w:tcPr>
          <w:p>
            <w:pPr>
              <w:widowControl/>
              <w:jc w:val="center"/>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6</w:t>
            </w:r>
          </w:p>
        </w:tc>
        <w:tc>
          <w:tcPr>
            <w:tcW w:w="1229" w:type="dxa"/>
            <w:vAlign w:val="center"/>
          </w:tcPr>
          <w:p>
            <w:pPr>
              <w:spacing w:line="240" w:lineRule="exac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760" w:type="dxa"/>
            <w:vAlign w:val="center"/>
          </w:tcPr>
          <w:p>
            <w:pPr>
              <w:spacing w:line="40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1251" w:type="dxa"/>
            <w:vAlign w:val="center"/>
          </w:tcPr>
          <w:p>
            <w:pPr>
              <w:widowControl/>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服务器型</w:t>
            </w:r>
            <w:r>
              <w:rPr>
                <w:rFonts w:hint="eastAsia" w:ascii="宋体" w:hAnsi="宋体" w:eastAsia="宋体" w:cs="宋体"/>
                <w:kern w:val="0"/>
                <w:sz w:val="18"/>
                <w:szCs w:val="18"/>
              </w:rPr>
              <w:t>地址盒</w:t>
            </w:r>
          </w:p>
        </w:tc>
        <w:tc>
          <w:tcPr>
            <w:tcW w:w="1247" w:type="dxa"/>
            <w:vAlign w:val="center"/>
          </w:tcPr>
          <w:p>
            <w:pPr>
              <w:widowControl/>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国产</w:t>
            </w:r>
          </w:p>
        </w:tc>
        <w:tc>
          <w:tcPr>
            <w:tcW w:w="8542" w:type="dxa"/>
            <w:vAlign w:val="center"/>
          </w:tcPr>
          <w:p>
            <w:pPr>
              <w:spacing w:line="20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设备管理：支持对网络设备的注册和管理</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w:t>
            </w:r>
            <w:r>
              <w:rPr>
                <w:rFonts w:hint="eastAsia" w:ascii="宋体" w:hAnsi="宋体" w:eastAsia="宋体" w:cs="宋体"/>
                <w:sz w:val="18"/>
                <w:szCs w:val="18"/>
              </w:rPr>
              <w:t>音视频代理：支持音视频代理功能，实现设备在跨网段跨路由环境下可视对讲</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3.</w:t>
            </w:r>
            <w:r>
              <w:rPr>
                <w:rFonts w:hint="eastAsia" w:ascii="宋体" w:hAnsi="宋体" w:eastAsia="宋体" w:cs="宋体"/>
                <w:sz w:val="18"/>
                <w:szCs w:val="18"/>
              </w:rPr>
              <w:t>备份还原：支持本地数据库的备份和还原</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4.</w:t>
            </w:r>
            <w:r>
              <w:rPr>
                <w:rFonts w:hint="eastAsia" w:ascii="宋体" w:hAnsi="宋体" w:eastAsia="宋体" w:cs="宋体"/>
                <w:sz w:val="18"/>
                <w:szCs w:val="18"/>
              </w:rPr>
              <w:t>NTP服务：支持与NTP服务器时间同步，并提供系统时间同步服务</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5.</w:t>
            </w:r>
            <w:r>
              <w:rPr>
                <w:rFonts w:hint="eastAsia" w:ascii="宋体" w:hAnsi="宋体" w:eastAsia="宋体" w:cs="宋体"/>
                <w:sz w:val="18"/>
                <w:szCs w:val="18"/>
              </w:rPr>
              <w:t>远程升级：支持远程升级软件</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6.</w:t>
            </w:r>
            <w:r>
              <w:rPr>
                <w:rFonts w:hint="eastAsia" w:ascii="宋体" w:hAnsi="宋体" w:eastAsia="宋体" w:cs="宋体"/>
                <w:sz w:val="18"/>
                <w:szCs w:val="18"/>
              </w:rPr>
              <w:t>供电方式：DC14V/0.8A。</w:t>
            </w:r>
          </w:p>
        </w:tc>
        <w:tc>
          <w:tcPr>
            <w:tcW w:w="783" w:type="dxa"/>
            <w:vAlign w:val="center"/>
          </w:tcPr>
          <w:p>
            <w:pPr>
              <w:spacing w:line="40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台</w:t>
            </w:r>
          </w:p>
        </w:tc>
        <w:tc>
          <w:tcPr>
            <w:tcW w:w="849" w:type="dxa"/>
            <w:vAlign w:val="center"/>
          </w:tcPr>
          <w:p>
            <w:pPr>
              <w:spacing w:line="40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229" w:type="dxa"/>
            <w:vAlign w:val="center"/>
          </w:tcPr>
          <w:p>
            <w:pPr>
              <w:spacing w:line="240" w:lineRule="exac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60" w:type="dxa"/>
            <w:vAlign w:val="center"/>
          </w:tcPr>
          <w:p>
            <w:pPr>
              <w:spacing w:line="40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1251" w:type="dxa"/>
            <w:vAlign w:val="center"/>
          </w:tcPr>
          <w:p>
            <w:pPr>
              <w:widowControl/>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超短波电台稳压电源</w:t>
            </w:r>
          </w:p>
        </w:tc>
        <w:tc>
          <w:tcPr>
            <w:tcW w:w="1247" w:type="dxa"/>
            <w:vAlign w:val="center"/>
          </w:tcPr>
          <w:p>
            <w:pPr>
              <w:widowControl/>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国产</w:t>
            </w:r>
          </w:p>
        </w:tc>
        <w:tc>
          <w:tcPr>
            <w:tcW w:w="8542" w:type="dxa"/>
            <w:vAlign w:val="center"/>
          </w:tcPr>
          <w:p>
            <w:pPr>
              <w:widowControl/>
              <w:spacing w:line="200" w:lineRule="exact"/>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1.电压：0-30V；2.电流：0-10A；3.具备电流过载保护；4.显示器可显示实时电压、电流数值；5.具备电压电流锁定功能，防止误操作。</w:t>
            </w:r>
          </w:p>
        </w:tc>
        <w:tc>
          <w:tcPr>
            <w:tcW w:w="783" w:type="dxa"/>
            <w:vAlign w:val="center"/>
          </w:tcPr>
          <w:p>
            <w:pPr>
              <w:widowControl/>
              <w:jc w:val="center"/>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台</w:t>
            </w:r>
          </w:p>
        </w:tc>
        <w:tc>
          <w:tcPr>
            <w:tcW w:w="849" w:type="dxa"/>
            <w:vAlign w:val="center"/>
          </w:tcPr>
          <w:p>
            <w:pPr>
              <w:widowControl/>
              <w:jc w:val="center"/>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4</w:t>
            </w:r>
          </w:p>
        </w:tc>
        <w:tc>
          <w:tcPr>
            <w:tcW w:w="1229" w:type="dxa"/>
            <w:vAlign w:val="center"/>
          </w:tcPr>
          <w:p>
            <w:pPr>
              <w:spacing w:line="240" w:lineRule="exac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60" w:type="dxa"/>
            <w:vAlign w:val="center"/>
          </w:tcPr>
          <w:p>
            <w:pPr>
              <w:spacing w:line="40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251" w:type="dxa"/>
            <w:vAlign w:val="center"/>
          </w:tcPr>
          <w:p>
            <w:pPr>
              <w:widowControl/>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录音电话</w:t>
            </w:r>
          </w:p>
        </w:tc>
        <w:tc>
          <w:tcPr>
            <w:tcW w:w="1247" w:type="dxa"/>
            <w:vAlign w:val="center"/>
          </w:tcPr>
          <w:p>
            <w:pPr>
              <w:widowControl/>
              <w:jc w:val="left"/>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国产</w:t>
            </w:r>
          </w:p>
        </w:tc>
        <w:tc>
          <w:tcPr>
            <w:tcW w:w="8542" w:type="dxa"/>
            <w:vAlign w:val="center"/>
          </w:tcPr>
          <w:p>
            <w:pPr>
              <w:spacing w:line="400" w:lineRule="exact"/>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1.有线座机；2.颜色：黑色；3.具备480分钟以上录音功能；4.具备防雷、抗电磁干扰功能</w:t>
            </w:r>
          </w:p>
        </w:tc>
        <w:tc>
          <w:tcPr>
            <w:tcW w:w="783" w:type="dxa"/>
            <w:vAlign w:val="center"/>
          </w:tcPr>
          <w:p>
            <w:pPr>
              <w:widowControl/>
              <w:jc w:val="center"/>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部</w:t>
            </w:r>
          </w:p>
        </w:tc>
        <w:tc>
          <w:tcPr>
            <w:tcW w:w="849" w:type="dxa"/>
            <w:vAlign w:val="center"/>
          </w:tcPr>
          <w:p>
            <w:pPr>
              <w:widowControl/>
              <w:jc w:val="center"/>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4</w:t>
            </w:r>
          </w:p>
        </w:tc>
        <w:tc>
          <w:tcPr>
            <w:tcW w:w="1229" w:type="dxa"/>
            <w:vAlign w:val="center"/>
          </w:tcPr>
          <w:p>
            <w:pPr>
              <w:spacing w:line="240" w:lineRule="exac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60" w:type="dxa"/>
            <w:vAlign w:val="center"/>
          </w:tcPr>
          <w:p>
            <w:pPr>
              <w:spacing w:line="400" w:lineRule="exact"/>
              <w:jc w:val="center"/>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5</w:t>
            </w:r>
          </w:p>
        </w:tc>
        <w:tc>
          <w:tcPr>
            <w:tcW w:w="1251" w:type="dxa"/>
            <w:vAlign w:val="center"/>
          </w:tcPr>
          <w:p>
            <w:pPr>
              <w:widowControl/>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键鼠套装</w:t>
            </w:r>
          </w:p>
        </w:tc>
        <w:tc>
          <w:tcPr>
            <w:tcW w:w="1247" w:type="dxa"/>
            <w:vAlign w:val="center"/>
          </w:tcPr>
          <w:p>
            <w:pPr>
              <w:widowControl/>
              <w:jc w:val="left"/>
              <w:textAlignment w:val="center"/>
              <w:rPr>
                <w:rFonts w:hint="eastAsia" w:ascii="宋体" w:hAnsi="宋体" w:eastAsia="宋体" w:cs="宋体"/>
                <w:kern w:val="0"/>
                <w:sz w:val="18"/>
                <w:szCs w:val="18"/>
              </w:rPr>
            </w:pPr>
          </w:p>
        </w:tc>
        <w:tc>
          <w:tcPr>
            <w:tcW w:w="8542" w:type="dxa"/>
            <w:vAlign w:val="center"/>
          </w:tcPr>
          <w:p>
            <w:pPr>
              <w:spacing w:line="200" w:lineRule="exact"/>
              <w:jc w:val="left"/>
              <w:rPr>
                <w:rFonts w:hint="eastAsia" w:ascii="宋体" w:hAnsi="宋体" w:eastAsia="宋体" w:cs="宋体"/>
                <w:sz w:val="18"/>
                <w:szCs w:val="18"/>
              </w:rPr>
            </w:pPr>
          </w:p>
        </w:tc>
        <w:tc>
          <w:tcPr>
            <w:tcW w:w="783" w:type="dxa"/>
            <w:vAlign w:val="center"/>
          </w:tcPr>
          <w:p>
            <w:pPr>
              <w:spacing w:line="400" w:lineRule="exact"/>
              <w:jc w:val="center"/>
              <w:rPr>
                <w:rFonts w:hint="eastAsia" w:ascii="宋体" w:hAnsi="宋体" w:eastAsia="宋体" w:cs="宋体"/>
                <w:sz w:val="18"/>
                <w:szCs w:val="18"/>
              </w:rPr>
            </w:pPr>
            <w:r>
              <w:rPr>
                <w:rFonts w:hint="eastAsia" w:ascii="宋体" w:hAnsi="宋体" w:eastAsia="宋体" w:cs="宋体"/>
                <w:sz w:val="18"/>
                <w:szCs w:val="18"/>
              </w:rPr>
              <w:t>套</w:t>
            </w:r>
          </w:p>
        </w:tc>
        <w:tc>
          <w:tcPr>
            <w:tcW w:w="849" w:type="dxa"/>
            <w:vAlign w:val="center"/>
          </w:tcPr>
          <w:p>
            <w:pPr>
              <w:spacing w:line="400" w:lineRule="exact"/>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c>
          <w:tcPr>
            <w:tcW w:w="1229" w:type="dxa"/>
            <w:vAlign w:val="center"/>
          </w:tcPr>
          <w:p>
            <w:pPr>
              <w:spacing w:line="240" w:lineRule="exac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760" w:type="dxa"/>
            <w:vAlign w:val="center"/>
          </w:tcPr>
          <w:p>
            <w:pPr>
              <w:spacing w:line="400" w:lineRule="exact"/>
              <w:jc w:val="center"/>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6</w:t>
            </w:r>
          </w:p>
        </w:tc>
        <w:tc>
          <w:tcPr>
            <w:tcW w:w="1251" w:type="dxa"/>
            <w:vAlign w:val="center"/>
          </w:tcPr>
          <w:p>
            <w:pPr>
              <w:widowControl/>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一拖多USB拓展器</w:t>
            </w:r>
          </w:p>
        </w:tc>
        <w:tc>
          <w:tcPr>
            <w:tcW w:w="1247" w:type="dxa"/>
            <w:vAlign w:val="center"/>
          </w:tcPr>
          <w:p>
            <w:pPr>
              <w:widowControl/>
              <w:jc w:val="left"/>
              <w:textAlignment w:val="center"/>
              <w:rPr>
                <w:rFonts w:hint="eastAsia" w:ascii="宋体" w:hAnsi="宋体" w:eastAsia="宋体" w:cs="宋体"/>
                <w:kern w:val="0"/>
                <w:sz w:val="18"/>
                <w:szCs w:val="18"/>
              </w:rPr>
            </w:pPr>
          </w:p>
        </w:tc>
        <w:tc>
          <w:tcPr>
            <w:tcW w:w="8542" w:type="dxa"/>
            <w:vAlign w:val="center"/>
          </w:tcPr>
          <w:p>
            <w:pPr>
              <w:spacing w:line="400" w:lineRule="exact"/>
              <w:rPr>
                <w:rFonts w:hint="eastAsia" w:ascii="宋体" w:hAnsi="宋体" w:eastAsia="宋体" w:cs="宋体"/>
                <w:sz w:val="18"/>
                <w:szCs w:val="18"/>
              </w:rPr>
            </w:pPr>
          </w:p>
        </w:tc>
        <w:tc>
          <w:tcPr>
            <w:tcW w:w="783" w:type="dxa"/>
            <w:vAlign w:val="center"/>
          </w:tcPr>
          <w:p>
            <w:pPr>
              <w:spacing w:line="400" w:lineRule="exact"/>
              <w:jc w:val="center"/>
              <w:rPr>
                <w:rFonts w:hint="eastAsia" w:ascii="宋体" w:hAnsi="宋体" w:eastAsia="宋体" w:cs="宋体"/>
                <w:sz w:val="18"/>
                <w:szCs w:val="18"/>
              </w:rPr>
            </w:pPr>
            <w:r>
              <w:rPr>
                <w:rFonts w:hint="eastAsia" w:ascii="宋体" w:hAnsi="宋体" w:eastAsia="宋体" w:cs="宋体"/>
                <w:sz w:val="18"/>
                <w:szCs w:val="18"/>
              </w:rPr>
              <w:t>台</w:t>
            </w:r>
          </w:p>
        </w:tc>
        <w:tc>
          <w:tcPr>
            <w:tcW w:w="849" w:type="dxa"/>
            <w:vAlign w:val="center"/>
          </w:tcPr>
          <w:p>
            <w:pPr>
              <w:spacing w:line="400" w:lineRule="exact"/>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c>
          <w:tcPr>
            <w:tcW w:w="1229" w:type="dxa"/>
            <w:vAlign w:val="center"/>
          </w:tcPr>
          <w:p>
            <w:pPr>
              <w:spacing w:line="240" w:lineRule="exac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760" w:type="dxa"/>
            <w:vAlign w:val="center"/>
          </w:tcPr>
          <w:p>
            <w:pPr>
              <w:spacing w:line="40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251" w:type="dxa"/>
            <w:vAlign w:val="center"/>
          </w:tcPr>
          <w:p>
            <w:pPr>
              <w:widowControl/>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线辅材</w:t>
            </w:r>
          </w:p>
        </w:tc>
        <w:tc>
          <w:tcPr>
            <w:tcW w:w="1247" w:type="dxa"/>
            <w:vAlign w:val="center"/>
          </w:tcPr>
          <w:p>
            <w:pPr>
              <w:spacing w:line="200" w:lineRule="exact"/>
              <w:jc w:val="left"/>
              <w:rPr>
                <w:rFonts w:hint="eastAsia" w:ascii="宋体" w:hAnsi="宋体" w:eastAsia="宋体" w:cs="宋体"/>
                <w:sz w:val="18"/>
                <w:szCs w:val="18"/>
              </w:rPr>
            </w:pPr>
          </w:p>
        </w:tc>
        <w:tc>
          <w:tcPr>
            <w:tcW w:w="8542" w:type="dxa"/>
            <w:vAlign w:val="center"/>
          </w:tcPr>
          <w:p>
            <w:pPr>
              <w:spacing w:line="200" w:lineRule="exact"/>
              <w:rPr>
                <w:rFonts w:hint="eastAsia" w:ascii="宋体" w:hAnsi="宋体" w:eastAsia="宋体" w:cs="宋体"/>
                <w:sz w:val="18"/>
                <w:szCs w:val="18"/>
              </w:rPr>
            </w:pPr>
            <w:r>
              <w:rPr>
                <w:rFonts w:hint="eastAsia" w:ascii="宋体" w:hAnsi="宋体" w:eastAsia="宋体" w:cs="宋体"/>
                <w:sz w:val="18"/>
                <w:szCs w:val="18"/>
                <w:lang w:eastAsia="zh-CN"/>
              </w:rPr>
              <w:t>六类</w:t>
            </w:r>
            <w:r>
              <w:rPr>
                <w:rFonts w:hint="eastAsia" w:ascii="宋体" w:hAnsi="宋体" w:eastAsia="宋体" w:cs="宋体"/>
                <w:sz w:val="18"/>
                <w:szCs w:val="18"/>
              </w:rPr>
              <w:t>网线、视频线、视频转接头、USB延长线等</w:t>
            </w:r>
          </w:p>
        </w:tc>
        <w:tc>
          <w:tcPr>
            <w:tcW w:w="783" w:type="dxa"/>
            <w:vAlign w:val="center"/>
          </w:tcPr>
          <w:p>
            <w:pPr>
              <w:spacing w:line="400" w:lineRule="exact"/>
              <w:jc w:val="center"/>
              <w:rPr>
                <w:rFonts w:hint="eastAsia" w:ascii="宋体" w:hAnsi="宋体" w:eastAsia="宋体" w:cs="宋体"/>
                <w:sz w:val="18"/>
                <w:szCs w:val="18"/>
              </w:rPr>
            </w:pPr>
            <w:r>
              <w:rPr>
                <w:rFonts w:hint="eastAsia" w:ascii="宋体" w:hAnsi="宋体" w:eastAsia="宋体" w:cs="宋体"/>
                <w:sz w:val="18"/>
                <w:szCs w:val="18"/>
              </w:rPr>
              <w:t>批</w:t>
            </w:r>
          </w:p>
        </w:tc>
        <w:tc>
          <w:tcPr>
            <w:tcW w:w="849" w:type="dxa"/>
            <w:vAlign w:val="center"/>
          </w:tcPr>
          <w:p>
            <w:pPr>
              <w:spacing w:line="400" w:lineRule="exact"/>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c>
          <w:tcPr>
            <w:tcW w:w="1229" w:type="dxa"/>
            <w:vAlign w:val="center"/>
          </w:tcPr>
          <w:p>
            <w:pPr>
              <w:spacing w:line="240" w:lineRule="exact"/>
              <w:jc w:val="center"/>
              <w:rPr>
                <w:rFonts w:hint="eastAsia" w:ascii="宋体" w:hAnsi="宋体" w:eastAsia="宋体" w:cs="宋体"/>
                <w:sz w:val="18"/>
                <w:szCs w:val="18"/>
              </w:rPr>
            </w:pPr>
          </w:p>
        </w:tc>
      </w:tr>
    </w:tbl>
    <w:p>
      <w:pPr>
        <w:pStyle w:val="2"/>
        <w:keepNext w:val="0"/>
        <w:keepLines w:val="0"/>
        <w:pageBreakBefore w:val="0"/>
        <w:widowControl w:val="0"/>
        <w:kinsoku/>
        <w:wordWrap/>
        <w:overflowPunct/>
        <w:topLinePunct w:val="0"/>
        <w:autoSpaceDE/>
        <w:autoSpaceDN/>
        <w:bidi w:val="0"/>
        <w:adjustRightInd/>
        <w:snapToGrid/>
        <w:spacing w:line="520" w:lineRule="atLeast"/>
        <w:ind w:firstLine="608" w:firstLineChars="200"/>
        <w:textAlignment w:val="auto"/>
        <w:rPr>
          <w:rFonts w:hint="eastAsia" w:ascii="新宋体" w:hAnsi="新宋体" w:eastAsia="新宋体" w:cs="新宋体"/>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20" w:lineRule="atLeast"/>
        <w:ind w:firstLine="608" w:firstLineChars="200"/>
        <w:textAlignment w:val="auto"/>
        <w:rPr>
          <w:rFonts w:hint="eastAsia" w:ascii="新宋体" w:hAnsi="新宋体" w:eastAsia="新宋体" w:cs="新宋体"/>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20" w:lineRule="atLeast"/>
        <w:ind w:firstLine="608" w:firstLineChars="200"/>
        <w:textAlignment w:val="auto"/>
        <w:rPr>
          <w:rFonts w:hint="eastAsia" w:ascii="新宋体" w:hAnsi="新宋体" w:eastAsia="新宋体" w:cs="新宋体"/>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20" w:lineRule="atLeast"/>
        <w:ind w:firstLine="608" w:firstLineChars="200"/>
        <w:textAlignment w:val="auto"/>
        <w:rPr>
          <w:rFonts w:hint="eastAsia" w:ascii="新宋体" w:hAnsi="新宋体" w:eastAsia="新宋体" w:cs="新宋体"/>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20" w:lineRule="atLeast"/>
        <w:ind w:firstLine="608" w:firstLineChars="200"/>
        <w:textAlignment w:val="auto"/>
        <w:rPr>
          <w:rFonts w:hint="eastAsia" w:ascii="新宋体" w:hAnsi="新宋体" w:eastAsia="新宋体" w:cs="新宋体"/>
          <w:sz w:val="28"/>
          <w:szCs w:val="28"/>
          <w:lang w:eastAsia="zh-CN"/>
        </w:rPr>
        <w:sectPr>
          <w:pgSz w:w="16838" w:h="11906" w:orient="landscape"/>
          <w:pgMar w:top="1800" w:right="1440" w:bottom="1800" w:left="1440" w:header="851" w:footer="992" w:gutter="0"/>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20" w:lineRule="atLeast"/>
        <w:ind w:firstLine="608" w:firstLineChars="2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二</w:t>
      </w:r>
      <w:r>
        <w:rPr>
          <w:rFonts w:hint="eastAsia" w:ascii="新宋体" w:hAnsi="新宋体" w:eastAsia="新宋体" w:cs="新宋体"/>
          <w:sz w:val="28"/>
          <w:szCs w:val="28"/>
        </w:rPr>
        <w:t>、商务要求</w:t>
      </w:r>
      <w:r>
        <w:rPr>
          <w:rFonts w:hint="eastAsia" w:ascii="新宋体" w:hAnsi="新宋体" w:eastAsia="新宋体" w:cs="新宋体"/>
          <w:sz w:val="28"/>
          <w:szCs w:val="28"/>
          <w:lang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atLeast"/>
        <w:ind w:firstLine="608" w:firstLineChars="2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lang w:val="zh-CN" w:eastAsia="zh-CN"/>
        </w:rPr>
        <w:t>★</w:t>
      </w:r>
      <w:r>
        <w:rPr>
          <w:rFonts w:hint="eastAsia" w:ascii="新宋体" w:hAnsi="新宋体" w:eastAsia="新宋体" w:cs="新宋体"/>
          <w:sz w:val="28"/>
          <w:szCs w:val="28"/>
          <w:lang w:eastAsia="zh-CN"/>
        </w:rPr>
        <w:t>（一）交货时间、地点与方式：</w:t>
      </w:r>
    </w:p>
    <w:p>
      <w:pPr>
        <w:pStyle w:val="2"/>
        <w:keepNext w:val="0"/>
        <w:keepLines w:val="0"/>
        <w:pageBreakBefore w:val="0"/>
        <w:widowControl w:val="0"/>
        <w:kinsoku/>
        <w:wordWrap/>
        <w:overflowPunct/>
        <w:topLinePunct w:val="0"/>
        <w:autoSpaceDE/>
        <w:autoSpaceDN/>
        <w:bidi w:val="0"/>
        <w:adjustRightInd/>
        <w:snapToGrid/>
        <w:spacing w:line="520" w:lineRule="atLeast"/>
        <w:ind w:firstLine="608" w:firstLineChars="2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1.交货地点：甲方指定地点。</w:t>
      </w:r>
    </w:p>
    <w:p>
      <w:pPr>
        <w:pStyle w:val="2"/>
        <w:keepNext w:val="0"/>
        <w:keepLines w:val="0"/>
        <w:pageBreakBefore w:val="0"/>
        <w:widowControl w:val="0"/>
        <w:kinsoku/>
        <w:wordWrap/>
        <w:overflowPunct/>
        <w:topLinePunct w:val="0"/>
        <w:autoSpaceDE/>
        <w:autoSpaceDN/>
        <w:bidi w:val="0"/>
        <w:adjustRightInd/>
        <w:snapToGrid/>
        <w:spacing w:line="520" w:lineRule="atLeast"/>
        <w:ind w:firstLine="608" w:firstLineChars="2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2.交货日期：合同签订之日起</w:t>
      </w:r>
      <w:r>
        <w:rPr>
          <w:rFonts w:hint="eastAsia" w:ascii="新宋体" w:hAnsi="新宋体" w:eastAsia="新宋体" w:cs="新宋体"/>
          <w:sz w:val="28"/>
          <w:szCs w:val="28"/>
          <w:lang w:val="en-US" w:eastAsia="zh-CN"/>
        </w:rPr>
        <w:t>45</w:t>
      </w:r>
      <w:r>
        <w:rPr>
          <w:rFonts w:hint="eastAsia" w:ascii="新宋体" w:hAnsi="新宋体" w:eastAsia="新宋体" w:cs="新宋体"/>
          <w:sz w:val="28"/>
          <w:szCs w:val="28"/>
          <w:lang w:eastAsia="zh-CN"/>
        </w:rPr>
        <w:t>天内全部交货并安装调试完毕。</w:t>
      </w:r>
    </w:p>
    <w:p>
      <w:pPr>
        <w:pStyle w:val="2"/>
        <w:keepNext w:val="0"/>
        <w:keepLines w:val="0"/>
        <w:pageBreakBefore w:val="0"/>
        <w:widowControl w:val="0"/>
        <w:kinsoku/>
        <w:wordWrap/>
        <w:overflowPunct/>
        <w:topLinePunct w:val="0"/>
        <w:autoSpaceDE/>
        <w:autoSpaceDN/>
        <w:bidi w:val="0"/>
        <w:adjustRightInd/>
        <w:snapToGrid/>
        <w:spacing w:line="520" w:lineRule="atLeast"/>
        <w:ind w:firstLine="608" w:firstLineChars="2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3.交货方式：送至甲方指定地点并进行安装。</w:t>
      </w:r>
    </w:p>
    <w:p>
      <w:pPr>
        <w:pStyle w:val="2"/>
        <w:keepNext w:val="0"/>
        <w:keepLines w:val="0"/>
        <w:pageBreakBefore w:val="0"/>
        <w:widowControl w:val="0"/>
        <w:kinsoku/>
        <w:wordWrap/>
        <w:overflowPunct/>
        <w:topLinePunct w:val="0"/>
        <w:autoSpaceDE/>
        <w:autoSpaceDN/>
        <w:bidi w:val="0"/>
        <w:adjustRightInd/>
        <w:snapToGrid/>
        <w:spacing w:line="520" w:lineRule="atLeast"/>
        <w:ind w:firstLine="608" w:firstLineChars="2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lang w:val="zh-CN" w:eastAsia="zh-CN"/>
        </w:rPr>
        <w:t>★</w:t>
      </w:r>
      <w:r>
        <w:rPr>
          <w:rFonts w:hint="eastAsia" w:ascii="新宋体" w:hAnsi="新宋体" w:eastAsia="新宋体" w:cs="新宋体"/>
          <w:sz w:val="28"/>
          <w:szCs w:val="28"/>
          <w:lang w:eastAsia="zh-CN"/>
        </w:rPr>
        <w:t>（二）售后服务：</w:t>
      </w:r>
    </w:p>
    <w:p>
      <w:pPr>
        <w:pStyle w:val="2"/>
        <w:keepNext w:val="0"/>
        <w:keepLines w:val="0"/>
        <w:pageBreakBefore w:val="0"/>
        <w:widowControl w:val="0"/>
        <w:kinsoku/>
        <w:wordWrap/>
        <w:overflowPunct/>
        <w:topLinePunct w:val="0"/>
        <w:autoSpaceDE/>
        <w:autoSpaceDN/>
        <w:bidi w:val="0"/>
        <w:adjustRightInd/>
        <w:snapToGrid/>
        <w:spacing w:line="520" w:lineRule="atLeast"/>
        <w:ind w:firstLine="608" w:firstLineChars="2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w:t>
      </w:r>
      <w:r>
        <w:rPr>
          <w:rFonts w:hint="eastAsia" w:ascii="新宋体" w:hAnsi="新宋体" w:eastAsia="新宋体" w:cs="新宋体"/>
          <w:sz w:val="28"/>
          <w:szCs w:val="28"/>
          <w:lang w:val="zh-CN" w:eastAsia="zh-CN"/>
        </w:rPr>
        <w:t>质量保证期：</w:t>
      </w:r>
      <w:r>
        <w:rPr>
          <w:rFonts w:hint="eastAsia" w:ascii="新宋体" w:hAnsi="新宋体" w:eastAsia="新宋体" w:cs="新宋体"/>
          <w:sz w:val="28"/>
          <w:szCs w:val="28"/>
          <w:lang w:eastAsia="zh-CN"/>
        </w:rPr>
        <w:t>自交货验收完毕之日算起，所有产品质保12个月。投标供应商对提供的货物在质保期内，因产品质量而导致的缺陷，必须免费提供包修、包换、包退服务，因此导致的损失采购单位有权向中标供应商追偿。超出质保期后，供应商应当提供上门维修服务，仅收取成本费。</w:t>
      </w:r>
    </w:p>
    <w:p>
      <w:pPr>
        <w:pStyle w:val="2"/>
        <w:keepNext w:val="0"/>
        <w:keepLines w:val="0"/>
        <w:pageBreakBefore w:val="0"/>
        <w:widowControl w:val="0"/>
        <w:kinsoku/>
        <w:wordWrap/>
        <w:overflowPunct/>
        <w:topLinePunct w:val="0"/>
        <w:autoSpaceDE/>
        <w:autoSpaceDN/>
        <w:bidi w:val="0"/>
        <w:adjustRightInd/>
        <w:snapToGrid/>
        <w:spacing w:line="520" w:lineRule="atLeast"/>
        <w:ind w:firstLine="608" w:firstLineChars="200"/>
        <w:textAlignment w:val="auto"/>
        <w:rPr>
          <w:rFonts w:hint="eastAsia" w:ascii="新宋体" w:hAnsi="新宋体" w:eastAsia="新宋体" w:cs="新宋体"/>
          <w:sz w:val="28"/>
          <w:szCs w:val="28"/>
          <w:lang w:val="zh-CN" w:eastAsia="zh-CN"/>
        </w:rPr>
      </w:pPr>
      <w:r>
        <w:rPr>
          <w:rFonts w:hint="eastAsia" w:ascii="新宋体" w:hAnsi="新宋体" w:eastAsia="新宋体" w:cs="新宋体"/>
          <w:sz w:val="28"/>
          <w:szCs w:val="28"/>
          <w:lang w:eastAsia="zh-CN"/>
        </w:rPr>
        <w:t>2.</w:t>
      </w:r>
      <w:r>
        <w:rPr>
          <w:rFonts w:hint="eastAsia" w:ascii="新宋体" w:hAnsi="新宋体" w:eastAsia="新宋体" w:cs="新宋体"/>
          <w:sz w:val="28"/>
          <w:szCs w:val="28"/>
          <w:lang w:val="zh-CN" w:eastAsia="zh-CN"/>
        </w:rPr>
        <w:t>投标供应商须承诺提供该货物的技术培训、技术支持和维修巡检服务，服务内容包括使用技术培训、产品运行技术支持、定期维修维护和质量检查等，并在投标文件中提供相应书面方案。根据项目情况，提供产品建档计划等。</w:t>
      </w:r>
    </w:p>
    <w:p>
      <w:pPr>
        <w:pStyle w:val="2"/>
        <w:keepNext w:val="0"/>
        <w:keepLines w:val="0"/>
        <w:pageBreakBefore w:val="0"/>
        <w:widowControl w:val="0"/>
        <w:kinsoku/>
        <w:wordWrap/>
        <w:overflowPunct/>
        <w:topLinePunct w:val="0"/>
        <w:autoSpaceDE/>
        <w:autoSpaceDN/>
        <w:bidi w:val="0"/>
        <w:adjustRightInd/>
        <w:snapToGrid/>
        <w:spacing w:line="520" w:lineRule="atLeast"/>
        <w:ind w:firstLine="608" w:firstLineChars="200"/>
        <w:textAlignment w:val="auto"/>
        <w:rPr>
          <w:rFonts w:hint="eastAsia" w:ascii="新宋体" w:hAnsi="新宋体" w:eastAsia="新宋体" w:cs="新宋体"/>
          <w:sz w:val="28"/>
          <w:szCs w:val="28"/>
          <w:lang w:val="zh-CN" w:eastAsia="zh-CN"/>
        </w:rPr>
      </w:pPr>
      <w:r>
        <w:rPr>
          <w:rFonts w:hint="eastAsia" w:ascii="新宋体" w:hAnsi="新宋体" w:eastAsia="新宋体" w:cs="新宋体"/>
          <w:sz w:val="28"/>
          <w:szCs w:val="28"/>
          <w:lang w:eastAsia="zh-CN"/>
        </w:rPr>
        <w:t>3.</w:t>
      </w:r>
      <w:r>
        <w:rPr>
          <w:rFonts w:hint="eastAsia" w:ascii="新宋体" w:hAnsi="新宋体" w:eastAsia="新宋体" w:cs="新宋体"/>
          <w:sz w:val="28"/>
          <w:szCs w:val="28"/>
          <w:lang w:val="zh-CN" w:eastAsia="zh-CN"/>
        </w:rPr>
        <w:t>投标供应商须提供生命周期内零备件和消耗品清单，并明确供应周期和价格等优惠条件。</w:t>
      </w:r>
    </w:p>
    <w:p>
      <w:pPr>
        <w:pStyle w:val="2"/>
        <w:keepNext w:val="0"/>
        <w:keepLines w:val="0"/>
        <w:pageBreakBefore w:val="0"/>
        <w:widowControl w:val="0"/>
        <w:kinsoku/>
        <w:wordWrap/>
        <w:overflowPunct/>
        <w:topLinePunct w:val="0"/>
        <w:autoSpaceDE/>
        <w:autoSpaceDN/>
        <w:bidi w:val="0"/>
        <w:adjustRightInd/>
        <w:snapToGrid/>
        <w:spacing w:line="520" w:lineRule="atLeast"/>
        <w:ind w:firstLine="608" w:firstLineChars="200"/>
        <w:textAlignment w:val="auto"/>
        <w:rPr>
          <w:rFonts w:hint="eastAsia" w:ascii="新宋体" w:hAnsi="新宋体" w:eastAsia="新宋体" w:cs="新宋体"/>
          <w:sz w:val="28"/>
          <w:szCs w:val="28"/>
          <w:lang w:val="zh-CN" w:eastAsia="zh-CN"/>
        </w:rPr>
      </w:pPr>
      <w:r>
        <w:rPr>
          <w:rFonts w:hint="eastAsia" w:ascii="新宋体" w:hAnsi="新宋体" w:eastAsia="新宋体" w:cs="新宋体"/>
          <w:sz w:val="28"/>
          <w:szCs w:val="28"/>
          <w:lang w:eastAsia="zh-CN"/>
        </w:rPr>
        <w:t>4.</w:t>
      </w:r>
      <w:r>
        <w:rPr>
          <w:rFonts w:hint="eastAsia" w:ascii="新宋体" w:hAnsi="新宋体" w:eastAsia="新宋体" w:cs="新宋体"/>
          <w:sz w:val="28"/>
          <w:szCs w:val="28"/>
          <w:lang w:val="zh-CN" w:eastAsia="zh-CN"/>
        </w:rPr>
        <w:t>投标供应商须承诺，对售后服务需求提供</w:t>
      </w:r>
      <w:r>
        <w:rPr>
          <w:rFonts w:hint="eastAsia" w:ascii="新宋体" w:hAnsi="新宋体" w:eastAsia="新宋体" w:cs="新宋体"/>
          <w:sz w:val="28"/>
          <w:szCs w:val="28"/>
          <w:lang w:eastAsia="zh-CN"/>
        </w:rPr>
        <w:t>60分钟</w:t>
      </w:r>
      <w:r>
        <w:rPr>
          <w:rFonts w:hint="eastAsia" w:ascii="新宋体" w:hAnsi="新宋体" w:eastAsia="新宋体" w:cs="新宋体"/>
          <w:sz w:val="28"/>
          <w:szCs w:val="28"/>
          <w:lang w:val="zh-CN" w:eastAsia="zh-CN"/>
        </w:rPr>
        <w:t>响应</w:t>
      </w:r>
      <w:r>
        <w:rPr>
          <w:rFonts w:hint="eastAsia" w:ascii="新宋体" w:hAnsi="新宋体" w:eastAsia="新宋体" w:cs="新宋体"/>
          <w:sz w:val="28"/>
          <w:szCs w:val="28"/>
          <w:lang w:eastAsia="zh-CN"/>
        </w:rPr>
        <w:t>6</w:t>
      </w:r>
      <w:r>
        <w:rPr>
          <w:rFonts w:hint="eastAsia" w:ascii="新宋体" w:hAnsi="新宋体" w:eastAsia="新宋体" w:cs="新宋体"/>
          <w:sz w:val="28"/>
          <w:szCs w:val="28"/>
          <w:lang w:val="zh-CN" w:eastAsia="zh-CN"/>
        </w:rPr>
        <w:t>小时内到达现场实施维修。</w:t>
      </w:r>
      <w:r>
        <w:rPr>
          <w:rFonts w:hint="eastAsia" w:ascii="新宋体" w:hAnsi="新宋体" w:eastAsia="新宋体" w:cs="新宋体"/>
          <w:sz w:val="28"/>
          <w:szCs w:val="28"/>
          <w:lang w:eastAsia="zh-CN"/>
        </w:rPr>
        <w:t>12小</w:t>
      </w:r>
      <w:r>
        <w:rPr>
          <w:rFonts w:hint="eastAsia" w:ascii="新宋体" w:hAnsi="新宋体" w:eastAsia="新宋体" w:cs="新宋体"/>
          <w:sz w:val="28"/>
          <w:szCs w:val="28"/>
          <w:lang w:val="zh-CN" w:eastAsia="zh-CN"/>
        </w:rPr>
        <w:t>时仍未排除故障、恢复正常运转的，由投标供应商提供同类型备品、备件等。</w:t>
      </w:r>
    </w:p>
    <w:p>
      <w:pPr>
        <w:pStyle w:val="2"/>
        <w:keepNext w:val="0"/>
        <w:keepLines w:val="0"/>
        <w:pageBreakBefore w:val="0"/>
        <w:widowControl w:val="0"/>
        <w:kinsoku/>
        <w:wordWrap/>
        <w:overflowPunct/>
        <w:topLinePunct w:val="0"/>
        <w:autoSpaceDE/>
        <w:autoSpaceDN/>
        <w:bidi w:val="0"/>
        <w:adjustRightInd/>
        <w:snapToGrid/>
        <w:spacing w:line="520" w:lineRule="atLeast"/>
        <w:ind w:firstLine="608" w:firstLineChars="2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lang w:val="zh-CN" w:eastAsia="zh-CN"/>
        </w:rPr>
        <w:t>★</w:t>
      </w:r>
      <w:r>
        <w:rPr>
          <w:rFonts w:hint="eastAsia" w:ascii="新宋体" w:hAnsi="新宋体" w:eastAsia="新宋体" w:cs="新宋体"/>
          <w:sz w:val="28"/>
          <w:szCs w:val="28"/>
          <w:lang w:eastAsia="zh-CN"/>
        </w:rPr>
        <w:t>(三）专利权和保密要求</w:t>
      </w:r>
    </w:p>
    <w:p>
      <w:pPr>
        <w:pStyle w:val="2"/>
        <w:keepNext w:val="0"/>
        <w:keepLines w:val="0"/>
        <w:pageBreakBefore w:val="0"/>
        <w:widowControl w:val="0"/>
        <w:kinsoku/>
        <w:wordWrap/>
        <w:overflowPunct/>
        <w:topLinePunct w:val="0"/>
        <w:autoSpaceDE/>
        <w:autoSpaceDN/>
        <w:bidi w:val="0"/>
        <w:adjustRightInd/>
        <w:snapToGrid/>
        <w:spacing w:line="520" w:lineRule="atLeast"/>
        <w:ind w:firstLine="608" w:firstLineChars="2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投标供应商应保证使用方在使用该货物或其任何一部分时，不受第三方侵权指控。同时，投标供应商不得向第三方泄露采购机构提供的技术文件等资料。</w:t>
      </w:r>
    </w:p>
    <w:p>
      <w:pPr>
        <w:pStyle w:val="2"/>
        <w:keepNext w:val="0"/>
        <w:keepLines w:val="0"/>
        <w:pageBreakBefore w:val="0"/>
        <w:widowControl w:val="0"/>
        <w:kinsoku/>
        <w:wordWrap/>
        <w:overflowPunct/>
        <w:topLinePunct w:val="0"/>
        <w:autoSpaceDE/>
        <w:autoSpaceDN/>
        <w:bidi w:val="0"/>
        <w:adjustRightInd/>
        <w:snapToGrid/>
        <w:spacing w:line="520" w:lineRule="atLeast"/>
        <w:ind w:firstLine="608" w:firstLineChars="2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lang w:val="zh-CN" w:eastAsia="zh-CN"/>
        </w:rPr>
        <w:t>★</w:t>
      </w:r>
      <w:r>
        <w:rPr>
          <w:rFonts w:hint="eastAsia" w:ascii="新宋体" w:hAnsi="新宋体" w:eastAsia="新宋体" w:cs="新宋体"/>
          <w:sz w:val="28"/>
          <w:szCs w:val="28"/>
          <w:lang w:eastAsia="zh-CN"/>
        </w:rPr>
        <w:t>(四）付款及结算方式：</w:t>
      </w:r>
      <w:r>
        <w:rPr>
          <w:rFonts w:hint="eastAsia" w:ascii="新宋体" w:hAnsi="新宋体" w:eastAsia="新宋体" w:cs="新宋体"/>
          <w:sz w:val="28"/>
          <w:szCs w:val="28"/>
          <w:lang w:eastAsia="zh-CN"/>
        </w:rPr>
        <w:tab/>
      </w:r>
    </w:p>
    <w:p>
      <w:pPr>
        <w:pStyle w:val="2"/>
        <w:keepNext w:val="0"/>
        <w:keepLines w:val="0"/>
        <w:pageBreakBefore w:val="0"/>
        <w:widowControl w:val="0"/>
        <w:kinsoku/>
        <w:wordWrap/>
        <w:overflowPunct/>
        <w:topLinePunct w:val="0"/>
        <w:autoSpaceDE/>
        <w:autoSpaceDN/>
        <w:bidi w:val="0"/>
        <w:adjustRightInd/>
        <w:snapToGrid/>
        <w:spacing w:line="520" w:lineRule="atLeast"/>
        <w:ind w:firstLine="608" w:firstLineChars="2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货物运达指定地点</w:t>
      </w:r>
      <w:r>
        <w:rPr>
          <w:rFonts w:hint="eastAsia" w:ascii="新宋体" w:hAnsi="新宋体" w:eastAsia="新宋体" w:cs="新宋体"/>
          <w:sz w:val="28"/>
          <w:szCs w:val="28"/>
          <w:lang w:val="en-US" w:eastAsia="zh-CN"/>
        </w:rPr>
        <w:t>在安装调试</w:t>
      </w:r>
      <w:r>
        <w:rPr>
          <w:rFonts w:hint="eastAsia" w:ascii="新宋体" w:hAnsi="新宋体" w:eastAsia="新宋体" w:cs="新宋体"/>
          <w:sz w:val="28"/>
          <w:szCs w:val="28"/>
          <w:lang w:eastAsia="zh-CN"/>
        </w:rPr>
        <w:t>验收合格后，合同乙方向采购单位提交发运接收单、发票、验收报告等结算资料，采购单位在</w:t>
      </w:r>
      <w:r>
        <w:rPr>
          <w:rFonts w:hint="eastAsia" w:ascii="新宋体" w:hAnsi="新宋体" w:eastAsia="新宋体" w:cs="新宋体"/>
          <w:sz w:val="28"/>
          <w:szCs w:val="28"/>
          <w:u w:val="single"/>
          <w:lang w:val="en-US" w:eastAsia="zh-CN"/>
        </w:rPr>
        <w:t>45</w:t>
      </w:r>
      <w:r>
        <w:rPr>
          <w:rFonts w:hint="eastAsia" w:ascii="新宋体" w:hAnsi="新宋体" w:eastAsia="新宋体" w:cs="新宋体"/>
          <w:sz w:val="28"/>
          <w:szCs w:val="28"/>
          <w:lang w:eastAsia="zh-CN"/>
        </w:rPr>
        <w:t>天内向乙方支付</w:t>
      </w:r>
      <w:r>
        <w:rPr>
          <w:rFonts w:hint="eastAsia" w:ascii="新宋体" w:hAnsi="新宋体" w:eastAsia="新宋体" w:cs="新宋体"/>
          <w:sz w:val="28"/>
          <w:szCs w:val="28"/>
          <w:u w:val="single"/>
          <w:lang w:val="en-US" w:eastAsia="zh-CN"/>
        </w:rPr>
        <w:t>95</w:t>
      </w:r>
      <w:r>
        <w:rPr>
          <w:rFonts w:hint="eastAsia" w:ascii="新宋体" w:hAnsi="新宋体" w:eastAsia="新宋体" w:cs="新宋体"/>
          <w:sz w:val="28"/>
          <w:szCs w:val="28"/>
          <w:lang w:eastAsia="zh-CN"/>
        </w:rPr>
        <w:t>%的货款</w:t>
      </w:r>
      <w:bookmarkStart w:id="0" w:name="_GoBack"/>
      <w:bookmarkEnd w:id="0"/>
      <w:r>
        <w:rPr>
          <w:rFonts w:hint="eastAsia" w:ascii="新宋体" w:hAnsi="新宋体" w:eastAsia="新宋体" w:cs="新宋体"/>
          <w:sz w:val="28"/>
          <w:szCs w:val="28"/>
          <w:lang w:val="en-US" w:eastAsia="zh-CN"/>
        </w:rPr>
        <w:t>，</w:t>
      </w:r>
      <w:r>
        <w:rPr>
          <w:rFonts w:hint="eastAsia" w:ascii="新宋体" w:hAnsi="新宋体" w:eastAsia="新宋体" w:cs="新宋体"/>
          <w:sz w:val="28"/>
          <w:szCs w:val="28"/>
          <w:lang w:eastAsia="zh-CN"/>
        </w:rPr>
        <w:t>剩余</w:t>
      </w:r>
      <w:r>
        <w:rPr>
          <w:rFonts w:hint="eastAsia" w:ascii="新宋体" w:hAnsi="新宋体" w:eastAsia="新宋体" w:cs="新宋体"/>
          <w:sz w:val="28"/>
          <w:szCs w:val="28"/>
          <w:u w:val="single"/>
          <w:lang w:val="en-US" w:eastAsia="zh-CN"/>
        </w:rPr>
        <w:t>5</w:t>
      </w:r>
      <w:r>
        <w:rPr>
          <w:rFonts w:hint="eastAsia" w:ascii="新宋体" w:hAnsi="新宋体" w:eastAsia="新宋体" w:cs="新宋体"/>
          <w:sz w:val="28"/>
          <w:szCs w:val="28"/>
          <w:lang w:eastAsia="zh-CN"/>
        </w:rPr>
        <w:t>%作为质量保证金，质保期满</w:t>
      </w:r>
      <w:r>
        <w:rPr>
          <w:rFonts w:hint="eastAsia" w:ascii="新宋体" w:hAnsi="新宋体" w:eastAsia="新宋体" w:cs="新宋体"/>
          <w:sz w:val="28"/>
          <w:szCs w:val="28"/>
          <w:lang w:val="en-US" w:eastAsia="zh-CN"/>
        </w:rPr>
        <w:t>12</w:t>
      </w:r>
      <w:r>
        <w:rPr>
          <w:rFonts w:hint="eastAsia" w:ascii="新宋体" w:hAnsi="新宋体" w:eastAsia="新宋体" w:cs="新宋体"/>
          <w:sz w:val="28"/>
          <w:szCs w:val="28"/>
          <w:lang w:eastAsia="zh-CN"/>
        </w:rPr>
        <w:t>个月且无质量问题时全额无息退还。</w:t>
      </w:r>
    </w:p>
    <w:p>
      <w:pPr>
        <w:pStyle w:val="2"/>
        <w:keepNext w:val="0"/>
        <w:keepLines w:val="0"/>
        <w:pageBreakBefore w:val="0"/>
        <w:widowControl w:val="0"/>
        <w:kinsoku/>
        <w:wordWrap/>
        <w:overflowPunct/>
        <w:topLinePunct w:val="0"/>
        <w:autoSpaceDE/>
        <w:autoSpaceDN/>
        <w:bidi w:val="0"/>
        <w:adjustRightInd/>
        <w:snapToGrid/>
        <w:spacing w:line="520" w:lineRule="atLeast"/>
        <w:ind w:firstLine="608" w:firstLineChars="2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lang w:val="zh-CN" w:eastAsia="zh-CN"/>
        </w:rPr>
        <w:t>★</w:t>
      </w:r>
      <w:r>
        <w:rPr>
          <w:rFonts w:hint="eastAsia" w:ascii="新宋体" w:hAnsi="新宋体" w:eastAsia="新宋体" w:cs="新宋体"/>
          <w:sz w:val="28"/>
          <w:szCs w:val="28"/>
          <w:lang w:eastAsia="zh-CN"/>
        </w:rPr>
        <w:t>（四）履约保证金</w:t>
      </w:r>
    </w:p>
    <w:p>
      <w:pPr>
        <w:pStyle w:val="2"/>
        <w:keepNext w:val="0"/>
        <w:keepLines w:val="0"/>
        <w:pageBreakBefore w:val="0"/>
        <w:widowControl w:val="0"/>
        <w:kinsoku/>
        <w:wordWrap/>
        <w:overflowPunct/>
        <w:topLinePunct w:val="0"/>
        <w:autoSpaceDE/>
        <w:autoSpaceDN/>
        <w:bidi w:val="0"/>
        <w:adjustRightInd/>
        <w:snapToGrid/>
        <w:spacing w:line="520" w:lineRule="atLeast"/>
        <w:ind w:firstLine="608" w:firstLineChars="2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中标供应商签订采购合同前，须按合同金额的</w:t>
      </w:r>
      <w:r>
        <w:rPr>
          <w:rFonts w:hint="eastAsia" w:ascii="新宋体" w:hAnsi="新宋体" w:eastAsia="新宋体" w:cs="新宋体"/>
          <w:sz w:val="28"/>
          <w:szCs w:val="28"/>
          <w:u w:val="single"/>
          <w:lang w:val="en-US" w:eastAsia="zh-CN"/>
        </w:rPr>
        <w:t>5</w:t>
      </w:r>
      <w:r>
        <w:rPr>
          <w:rFonts w:hint="eastAsia" w:ascii="新宋体" w:hAnsi="新宋体" w:eastAsia="新宋体" w:cs="新宋体"/>
          <w:sz w:val="28"/>
          <w:szCs w:val="28"/>
          <w:lang w:eastAsia="zh-CN"/>
        </w:rPr>
        <w:t>%向采购单位提交履约保证金，合同履行货物验收合格后，采购单位退回履约保证金。</w:t>
      </w:r>
    </w:p>
    <w:p>
      <w:pPr>
        <w:pStyle w:val="2"/>
        <w:keepNext w:val="0"/>
        <w:keepLines w:val="0"/>
        <w:pageBreakBefore w:val="0"/>
        <w:widowControl w:val="0"/>
        <w:kinsoku/>
        <w:wordWrap/>
        <w:overflowPunct/>
        <w:topLinePunct w:val="0"/>
        <w:autoSpaceDE/>
        <w:autoSpaceDN/>
        <w:bidi w:val="0"/>
        <w:adjustRightInd/>
        <w:snapToGrid/>
        <w:spacing w:line="520" w:lineRule="atLeast"/>
        <w:ind w:firstLine="608" w:firstLineChars="200"/>
        <w:textAlignment w:val="auto"/>
        <w:rPr>
          <w:rFonts w:hint="eastAsia" w:ascii="新宋体" w:hAnsi="新宋体" w:eastAsia="新宋体" w:cs="新宋体"/>
          <w:sz w:val="28"/>
          <w:szCs w:val="28"/>
        </w:rPr>
      </w:pPr>
    </w:p>
    <w:p>
      <w:pPr>
        <w:pStyle w:val="2"/>
        <w:rPr>
          <w:rFonts w:hint="eastAsia" w:ascii="方正小标宋简体" w:hAnsi="宋体" w:eastAsia="方正小标宋简体"/>
          <w:sz w:val="44"/>
          <w:szCs w:val="44"/>
        </w:rPr>
      </w:pPr>
    </w:p>
    <w:p>
      <w:pPr>
        <w:rPr>
          <w:rFonts w:eastAsia="黑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YjQwNmM1OGJmYjNkZjViODI3NjExOGYxNThjZDEifQ=="/>
  </w:docVars>
  <w:rsids>
    <w:rsidRoot w:val="5A311EDA"/>
    <w:rsid w:val="00096DA7"/>
    <w:rsid w:val="000A2D72"/>
    <w:rsid w:val="000C2FFA"/>
    <w:rsid w:val="00105755"/>
    <w:rsid w:val="00134632"/>
    <w:rsid w:val="00143339"/>
    <w:rsid w:val="001C5A82"/>
    <w:rsid w:val="002572C3"/>
    <w:rsid w:val="003D4A0D"/>
    <w:rsid w:val="004113A1"/>
    <w:rsid w:val="00467E72"/>
    <w:rsid w:val="00471F05"/>
    <w:rsid w:val="004847E6"/>
    <w:rsid w:val="005C4D2E"/>
    <w:rsid w:val="005E2427"/>
    <w:rsid w:val="006F108A"/>
    <w:rsid w:val="00763921"/>
    <w:rsid w:val="0083560C"/>
    <w:rsid w:val="008775A3"/>
    <w:rsid w:val="009055E5"/>
    <w:rsid w:val="009417F1"/>
    <w:rsid w:val="00A30DE6"/>
    <w:rsid w:val="00B21BF3"/>
    <w:rsid w:val="00B44615"/>
    <w:rsid w:val="00B65D12"/>
    <w:rsid w:val="00C72BF6"/>
    <w:rsid w:val="00CC3266"/>
    <w:rsid w:val="00DD036C"/>
    <w:rsid w:val="00E8391E"/>
    <w:rsid w:val="00E83E5C"/>
    <w:rsid w:val="00EB42AC"/>
    <w:rsid w:val="00EB7201"/>
    <w:rsid w:val="00ED61D7"/>
    <w:rsid w:val="00F07F96"/>
    <w:rsid w:val="00F53563"/>
    <w:rsid w:val="022671BD"/>
    <w:rsid w:val="0CFA625E"/>
    <w:rsid w:val="136E7371"/>
    <w:rsid w:val="16361B0A"/>
    <w:rsid w:val="1AA71E24"/>
    <w:rsid w:val="1CDC4DD5"/>
    <w:rsid w:val="1DC07D1C"/>
    <w:rsid w:val="212F2F56"/>
    <w:rsid w:val="21584492"/>
    <w:rsid w:val="27506948"/>
    <w:rsid w:val="33E46F29"/>
    <w:rsid w:val="33F541A0"/>
    <w:rsid w:val="38B3354F"/>
    <w:rsid w:val="3B30536A"/>
    <w:rsid w:val="409413B9"/>
    <w:rsid w:val="485F2102"/>
    <w:rsid w:val="508A51D7"/>
    <w:rsid w:val="51E05C6D"/>
    <w:rsid w:val="56725887"/>
    <w:rsid w:val="5A311EDA"/>
    <w:rsid w:val="6160437C"/>
    <w:rsid w:val="63150763"/>
    <w:rsid w:val="6FDA74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firstLine="0"/>
    </w:pPr>
    <w:rPr>
      <w:spacing w:val="12"/>
    </w:rPr>
  </w:style>
  <w:style w:type="paragraph" w:styleId="3">
    <w:name w:val="Body Text Indent"/>
    <w:basedOn w:val="1"/>
    <w:qFormat/>
    <w:uiPriority w:val="0"/>
    <w:pPr>
      <w:ind w:firstLine="555"/>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rPr>
      <w:rFonts w:cs="Times New Roman"/>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 w:type="character" w:customStyle="1" w:styleId="11">
    <w:name w:val="font21"/>
    <w:basedOn w:val="7"/>
    <w:qFormat/>
    <w:uiPriority w:val="0"/>
    <w:rPr>
      <w:rFonts w:hint="eastAsia" w:ascii="黑体" w:hAnsi="宋体" w:eastAsia="黑体" w:cs="黑体"/>
      <w:color w:val="000000"/>
      <w:sz w:val="24"/>
      <w:szCs w:val="24"/>
      <w:u w:val="none"/>
    </w:rPr>
  </w:style>
  <w:style w:type="paragraph" w:customStyle="1" w:styleId="12">
    <w:name w:val="列出段落1"/>
    <w:basedOn w:val="1"/>
    <w:qFormat/>
    <w:uiPriority w:val="0"/>
    <w:pPr>
      <w:widowControl/>
      <w:ind w:left="720" w:firstLine="360"/>
      <w:jc w:val="left"/>
    </w:pPr>
    <w:rPr>
      <w:rFonts w:ascii="Calibri" w:hAnsi="Calibri"/>
      <w:sz w:val="22"/>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578A3-C21E-4F6F-87BE-E88BFB3925A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14</Pages>
  <Words>12262</Words>
  <Characters>13699</Characters>
  <Lines>51</Lines>
  <Paragraphs>14</Paragraphs>
  <TotalTime>17</TotalTime>
  <ScaleCrop>false</ScaleCrop>
  <LinksUpToDate>false</LinksUpToDate>
  <CharactersWithSpaces>13982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2023-04-19T02:08:00Z</dcterms:created>
  <dc:creator>lyf</dc:creator>
  <cp:lastModifiedBy>付新</cp:lastModifiedBy>
  <cp:lastPrinted>2023-05-10T00:31:00Z</cp:lastPrinted>
  <dcterms:modified xsi:type="dcterms:W3CDTF">2023-05-10T07:28:54Z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4BBCB775E87C46B0B410A7D7AD0020F1_13</vt:lpwstr>
  </property>
</Properties>
</file>