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执勤信息节点终端（设备）集成融合建设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需求计划表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单位1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资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质量技术标准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信息系统升级（包含统一显控调度台软件）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1、升级满足信息软件统一系统功能、统一操作界面、统一协议接口、统一软件版本规范要求。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2、综合态势展示：升级综合态势展示功能，支持在态势图中标注“三区一点”监控点位及各类报警设备，通过态势图点击查看，报警时进行联动展示；支持对各类设施设备位置进行清晰标识，精准防控。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视频资源融合：支持接入各主流厂家监控视频，支持接入视频融合网关、集成箱、可视对讲主机、哨位门禁、警戒雷达等专业设备集成视频监控模块。支持哨位画面叠加当班人员姓名显示、云台控制、视频录像回放、跨物理屏414报警联动预案上墙等功能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管理融合：门禁管控∶支持通道门禁管控，显示申请开门信息，值班员核验远程开门;支持AB门远程管控，显示A门进出人员信息。管控∶实时感知状态，离位报警触发异常提醒;实时感知状态，双人生物认证，值班员核验远程开柜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综合报警融合：融合各类异常报警，支持不少于警戒雷达、振动光缆、电子围栏、激光对射等高压电网、虚拟越界等各类报警方式，AB门异常等各类异常。支持建立警情分级管理，针对不同异常报警设定不同等级，联动不同预案。一般报警信息通过信息系统信息提示，重点报警信息通过信息系统电子地图自动显示报警防区、关联视频、语音播报，同时推送各单位，联动大屏显示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6、消息通信融合：消息收发：支持通过系统软件向集成箱下发要领、通知等信息，查看自动回复功能；多媒体信息发布：支持通过系统软件向多媒体终端发布排班信息、宣传教育视频、图片、报警信息。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客户端电脑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1、CPU：不低于英特尔® 酷睿™ I5系列；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2、内存：不低于 16G；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3、不低于1T硬盘 、64GSSD硬盘；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4、不低于NVIDIA系列独立显卡 4GB；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智能指挥控制系统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1、支持≧1个不低于23.8寸升降液晶显示屏，电容式触摸屏操作控制；支持HDMI、VGA等多种信号输入显示，支持亮度调节，电容式触摸屏操作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2、支持进行AI人工智能语音交互功能，通过语音识别打开各种常用功能菜单界面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3、根据任务清单设定的时间，支持执行语音查勤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4、支持带权限操作功能，支持指纹、密码验证登录，特殊权限操作需输入密码或指纹信息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5、支持兼容标准SIP/VoIP协议，可单独接入IPPBX电话系统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6、支持≧200万像素高清摄像头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7、支持视频调用、视频播放、摇杆控制、缩放控制、焦距调整、预设点调用等多种云台控制操作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8、支持单屏多用、触控操作、KVM扩容接入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9、支持智能勤务调度主机、信息化终端、门禁终端、联动终端、集群车载台、模拟话机、IP话机、广播等终端集中接入管理和统一音频调度（配合融合通信后台系统使用）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10、支持岗哨门禁控制与门状态检测功能，可对通道门禁终端进行远程开门、验证开门等控制操作，并实时检测和显示门状态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11、支持语音群呼、语音对讲、可视对讲、POC对讲、多方语音会议等功能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12、支持记录查询、单个监听、通话过程监听等功能；支持与哨位终端、语音对讲终端进行单呼、组呼、群呼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13、支持来/去电显示功能，来电语音播报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14、支持一键触发6类主动报警功能，报警联动哨位信息化终端、声光报警器等设备；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15、支持在系统平台瘫痪、系统网络堵塞情况下，应急开启控制；支持取消、一键全部打开功能；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16、支持在系统平台瘫痪、信息化终端离线时，接收离线报警、紧急报警功能；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17、部分管控支持网络、RS485备份传输通讯；支持在系统无故障时为待机状态，当系统故障时自动切换为应急状态；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操作台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1、整体≥3工位操作台，壳体尺寸以及储物抽屉根据实际需要定制；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2、支持集成显示器升降模块，实现触摸显示器自动升降；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3、柜体采用不低于2.0mm厚度冷轧钢板，柜体外表面采用静电喷粉涂装处理；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2497" descr="IMG_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97" descr="IMG_2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6720" descr="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720" descr="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输入节点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1.不少于1路HDMI输入、1路HDMI输出、1路音频输入、1路音频输出、1路网口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2.支持RS232、IO/IR控制接口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3.支持POE, DC电源互备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4.支持输入输出1080P@60Hz及以下分辨率、输入输出配高质HDMI线最少10米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5.支持5类以上网线100米，支持PoE供电建议80米。（与交换机性能相关）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6.支持H.264、H265编码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7.支持无缝切换，字符叠加，台标功能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8.支持底图，滚动字幕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9.支持信号预览、回显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10.支持多屏组管理控制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11.支持KVM功能，实时性好，坐席输入源预编组调度功能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12.支持亮度、色彩调整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13、支持定制客户端界面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14、支持LCD, DLP拼接处理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15.支持可视化管理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16.支持可编程化控制管理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17.支持系统信息、内存利用率、CPU利用率、端口速率实时查询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8628" descr="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628" descr="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8629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629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分布式输出节点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1.≧1路HDMI输入、≧1路HDMI输出、≧1路音频输入、≧1路音频输出、≧1路网口、≧1路光口（双纤SFP）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2.支持RS232、RS485、IO/IR和Relay控制接口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3.支持光网双备份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4.支持输入输出4K@30Hz、1080P@60Hz及以下分辨率、输入输出配高质HDMI线最少10米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5.支持5类以上网线100米，支持PoE供电建议80米。（与交换机性能相关、光纤距离和选用的光模块相关。）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6.支持H.264编码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7.支持无缝切换，字符叠加，台标功能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8.支持底图，滚动字幕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9.支持信号预览、回显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10.支持多屏组管理控制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11.支持KVM功能，实时性好，坐席输入源预编组调度功能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12.支持亮度、色彩调整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13.支持定制客户端界面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14.支持LCD,LED和DLP拼接处理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15.支持可视化管理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16.支持可编程化控制管理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17.支持常规IPC源解码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18.支持系统信息、内存利用率、CPU利用率、端口速率等实时查询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千兆管理型交换机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1、≧24个千兆网口+4个千兆SFP口+1个管理端口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2、IEEE802.3/IEEE802.3i/IEEE802.3u/IEEE802.3ab/IEEE802.3z，存储转发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3、以太网端口支持10/100/1000M自适应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4、采用存储转发的交换机制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5、面板指示灯监控工作状态及帮助故障分析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6、特性与无风扇、自然冷却、1U机架式安装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7、802.1x端口认证，支持AAA认证，支持TACACS+认证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8、WEB,TELNET,CLI,SSH,SNMP,RMON管理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单位2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资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质量技术标准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信息系统升级（包含统一显控调度台软件）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1、升级满足信息软件统一系统功能、统一操作界面、统一协议接口、统一软件版本规范要求。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2、综合态势展示：升级综合态势展示功能，支持在态势图中标注“三区一点”监控点位及各类报警设备，通过态势图点击查看，报警时进行联动展示；支持对各类设施设备位置进行清晰标识，精准防控。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视频资源融合：支持接入各主流厂家监控视频，支持接入视频融合网关、集成箱、可视对讲主机、哨位门禁、警戒雷达等专业设备集成视频监控模块。支持哨位画面叠加当班人员姓名显示、云台控制、视频录像回放、跨物理屏414报警联动预案上墙等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管理融合：门禁管控∶支持通道门禁管控，显示申请开门信息，值班员核验远程开门;支持AB门远程管控，显示A门进出人员信息。管控∶实时感知状态，离位报警触发异常提醒;实时感知状态，双人生物认证，值班员核验远程开柜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综合报警融合：融合各类异常报警，支持不少于警戒雷达、振动光缆、电子围栏、激光对射等高压电网、虚拟越界等各类报警方式，AB门异常等各类异常。支持建立警情分级管理，针对不同异常报警设定不同等级，联动不同预案。一般报警信息通过信息系统信息提示，重点报警信息通过信息系统电子地图自动显示报警防区、关联视频、语音播报，同时推送各单位，联动大屏显示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6、消息通信融合：消息收发：支持通过系统软件向集成箱下发要领、通知等信息，查看自动回复功能；多媒体信息发布：支持通过系统软件向多媒体终端发布排班信息、宣传教育视频、图片、报警信息。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客户端电脑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1、CPU：不低于英特尔® 酷睿™ I5系列；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2、内存：不低于 16G；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3、不低于1T硬盘 、64GSSD硬盘；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4、不低于NVIDIA系列独立显卡 4GB；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智能指挥控制系统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1、支持≧1个不低于23.8寸升降液晶显示屏，电容式触摸屏操作控制；支持HDMI、VGA等多种信号输入显示，支持亮度调节，电容式触摸屏操作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2、支持进行AI人工智能语音交互功能，通过语音识别打开各种常用功能菜单界面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3、根据任务清单设定的时间，支持执行语音查勤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4、支持带权限操作功能，支持指纹、密码验证登录，特殊权限操作需输入密码或指纹信息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5、支持兼容标准SIP/VoIP协议，可单独接入IPPBX电话系统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6、支持≧200万像素高清摄像头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7、支持视频调用、视频播放、摇杆控制、缩放控制、焦距调整、预设点调用等多种云台控制操作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8、支持单屏多用、触控操作、KVM扩容接入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9、支持智能勤务调度主机、信息化终端、门禁终端、联动终端、集群车载台、模拟话机、IP话机、广播等终端集中接入管理和统一音频调度（配合融合通信后台系统使用）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10、支持岗哨门禁控制与门状态检测功能，可对通道门禁终端进行远程开门、验证开门等控制操作，并实时检测和显示门状态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11、支持语音群呼、语音对讲、可视对讲、POC对讲、多方语音会议等功能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12、支持记录查询、单个监听、通话过程监听等功能；支持与哨位终端、语音对讲终端进行单呼、组呼、群呼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13、支持来/去电显示功能，来电语音播报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14、支持一键触发6类主动报警功能，报警联动哨位信息化终端、声光报警器等设备；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15、支持在系统平台瘫痪、系统网络堵塞情况下，应急开启控制；支持取消、一键全部打开功能；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16、支持在系统平台瘫痪、信息化终端离线时，接收离线报警、紧急报警功能；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17、部分管控支持网络、RS485备份传输通讯；支持在系统无故障时为待机状态，当系统故障时自动切换为应急状态；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操作台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1、整体≥3工位操作台，壳体尺寸以及储物抽屉根据实际需要定制；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2、支持集成显示器升降模块，实现触摸显示器自动升降；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3、柜体采用不低于2.0mm厚度冷轧钢板，柜体外表面采用静电喷粉涂装处理；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965" descr="IMG_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65" descr="IMG_2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966" descr="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66" descr="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输入节点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1.不少于1路HDMI输入、1路HDMI输出、1路音频输入、1路音频输出、1路网口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2.支持RS232、IO/IR控制接口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3.支持POE, DC电源互备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4.支持输入输出1080P@60Hz及以下分辨率、输入输出配高质HDMI线最少10米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5.支持5类以上网线100米，支持PoE供电建议80米。（与交换机性能相关）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6.支持H.264、H265编码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14、支持LCD, 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17.支持系统信息、内存利用率、CPU利用率、端口速率实时查询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7" name="图片 967" descr="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67" descr="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8" name="图片 968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68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分布式输出节点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1.≧1路HDMI输入、≧1路HDMI输出、≧1路音频输入、≧1路音频输出、≧1路网口、≧1路光口（双纤SFP）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2.支持RS232、RS485、IO/IR和Relay控制接口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3.支持光网双备份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4.支持输入输出4K@30Hz、1080P@60Hz及以下分辨率、输入输出配高质HDMI线最少10米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5.支持5类以上网线100米，支持PoE供电建议80米。（与交换机性能相关、光纤距离和选用的光模块相关。）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6.支持H.264编码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14.支持LCD,LED和DLP拼接处理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17.支持常规IPC源解码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18.支持系统信息、内存利用率、CPU利用率、端口速率等实时查询"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千兆管理型交换机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1、≧24个千兆网口+4个千兆SFP口+1个管理端口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2、IEEE802.3/IEEE802.3i/IEEE802.3u/IEEE802.3ab/IEEE802.3z，存储转发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3、以太网端口支持10/100/1000M自适应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4、采用存储转发的交换机制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5、面板指示灯监控工作状态及帮助故障分析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6、特性与无风扇、自然冷却、1U机架式安装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7、802.1x端口认证，支持AAA认证，支持TACACS+认证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8、WEB,TELNET,CLI,SSH,SNMP,RMON管理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单位3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资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质量技术标准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信息系统升级（包含统一显控调度台软件）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1、升级满足信息软件统一系统功能、统一操作界面、统一协议接口、统一软件版本规范要求。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2、综合态势展示：升级综合态势展示功能，支持在态势图中标注“三区一点”监控点位及各类报警设备，通过态势图点击查看，报警时进行联动展示；支持对各类设施设备位置进行清晰标识，精准防控。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视频资源融合：支持接入各主流厂家监控视频，支持接入视频融合网关、集成箱、可视对讲主机、哨位门禁、警戒雷达等专业设备集成视频监控模块。支持哨位画面叠加当班人员姓名显示、云台控制、视频录像回放、跨物理屏414报警联动预案上墙等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管理融合：门禁管控∶支持通道门禁管控，显示申请开门信息，值班员核验远程开门;支持AB门远程管控，显示A门进出人员信息。管控∶实时感知状态，离位报警触发异常提醒;实时感知状态，双人生物认证，值班员核验远程开柜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综合报警融合：融合各类异常报警，支持不少于警戒雷达、振动光缆、电子围栏、激光对射等高压电网、虚拟越界等各类报警方式，AB门异常等各类异常。支持建立警情分级管理，针对不同异常报警设定不同等级，联动不同预案。一般报警信息通过信息系统信息提示，重点报警信息通过信息系统电子地图自动显示报警防区、关联视频、语音播报，同时推送各单位，联动大屏显示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6、消息通信融合：消息收发：支持通过系统软件向集成箱下发要领、通知等信息，查看自动回复功能；多媒体信息发布：支持通过系统软件向多媒体终端发布排班信息、宣传教育视频、图片、报警信息。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客户端电脑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1、CPU：不低于英特尔® 酷睿™ I5系列；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2、内存：不低于 16G；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3、不低于1T硬盘 、64GSSD硬盘；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4、不低于NVIDIA系列独立显卡 4GB；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智能指挥控制系统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1、支持≧1个不低于23.8寸升降液晶显示屏，电容式触摸屏操作控制；支持HDMI、VGA等多种信号输入显示，支持亮度调节，电容式触摸屏操作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2、支持进行AI人工智能语音交互功能，通过语音识别打开各种常用功能菜单界面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3、根据任务清单设定的时间，支持执行语音查勤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4、支持带权限操作功能，支持指纹、密码验证登录，特殊权限操作需输入密码或指纹信息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5、支持兼容标准SIP/VoIP协议，可单独接入IPPBX电话系统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6、支持≧200万像素高清摄像头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7、支持视频调用、视频播放、摇杆控制、缩放控制、焦距调整、预设点调用等多种云台控制操作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8、支持单屏多用、触控操作、KVM扩容接入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9、支持智能勤务调度主机、信息化终端、门禁终端、联动终端、集群车载台、模拟话机、IP话机、广播等终端集中接入管理和统一音频调度（配合融合通信后台系统使用）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10、支持岗哨门禁控制与门状态检测功能，可对通道门禁终端进行远程开门、验证开门等控制操作，并实时检测和显示门状态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11、支持语音群呼、语音对讲、可视对讲、POC对讲、多方语音会议等功能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12、支持记录查询、单个监听、通话过程监听等功能；支持与哨位终端、语音对讲终端进行单呼、组呼、群呼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13、支持来/去电显示功能，来电语音播报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14、支持一键触发6类主动报警功能，报警联动哨位信息化终端、声光报警器等设备；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15、支持在系统平台瘫痪、系统网络堵塞情况下，应急开启控制；支持取消、一键全部打开功能；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16、支持在系统平台瘫痪、信息化终端离线时，接收离线报警、紧急报警功能；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17、部分管控支持网络、RS485备份传输通讯；支持在系统无故障时为待机状态，当系统故障时自动切换为应急状态；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操作台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1、整体≥3工位操作台，壳体尺寸以及储物抽屉根据实际需要定制；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2、支持集成显示器升降模块，实现触摸显示器自动升降；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3、柜体采用不低于2.0mm厚度冷轧钢板，柜体外表面采用静电喷粉涂装处理；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1062" descr="IMG_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62" descr="IMG_2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0" name="图片 1063" descr="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63" descr="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输入节点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1.不少于1路HDMI输入、1路HDMI输出、1路音频输入、1路音频输出、1路网口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2.支持RS232、IO/IR控制接口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3.支持POE, DC电源互备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4.支持输入输出1080P@60Hz及以下分辨率、输入输出配高质HDMI线最少10米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5.支持5类以上网线100米，支持PoE供电建议80米。（与交换机性能相关）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6.支持H.264、H265编码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14、支持LCD, 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17.支持系统信息、内存利用率、CPU利用率、端口速率实时查询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064" descr="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64" descr="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1065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65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分布式输出节点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1.≧1路HDMI输入、≧1路HDMI输出、≧1路音频输入、≧1路音频输出、≧1路网口、≧1路光口（双纤SFP）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2.支持RS232、RS485、IO/IR和Relay控制接口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3.支持光网双备份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4.支持输入输出4K@30Hz、1080P@60Hz及以下分辨率、输入输出配高质HDMI线最少10米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5.支持5类以上网线100米，支持PoE供电建议80米。（与交换机性能相关、光纤距离和选用的光模块相关。）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6.支持H.264编码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14.支持LCD,LED和DLP拼接处理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17.支持常规IPC源解码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18.支持系统信息、内存利用率、CPU利用率、端口速率等实时查询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千兆管理型交换机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1、≧24个千兆网口+4个千兆SFP口+1个管理端口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2、IEEE802.3/IEEE802.3i/IEEE802.3u/IEEE802.3ab/IEEE802.3z，存储转发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3、以太网端口支持10/100/1000M自适应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4、采用存储转发的交换机制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5、面板指示灯监控工作状态及帮助故障分析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6、特性与无风扇、自然冷却、1U机架式安装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7、802.1x端口认证，支持AAA认证，支持TACACS+认证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8、WEB,TELNET,CLI,SSH,SNMP,RMON管理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资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质量技术标准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信息系统升级（包含统一显控调度台软件）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1、升级满足信息软件统一系统功能、统一操作界面、统一协议接口、统一软件版本规范要求。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2、综合态势展示：升级综合态势展示功能，支持在态势图中标注“三区一点”监控点位及各类报警设备，通过态势图点击查看，报警时进行联动展示；支持对各类设施设备位置进行清晰标识，精准防控。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视频资源融合：支持接入各主流厂家监控视频，支持接入视频融合网关、集成箱、可视对讲主机、哨位门禁、警戒雷达等专业设备集成视频监控模块。支持哨位画面叠加当班人员姓名显示、云台控制、视频录像回放、跨物理屏414报警联动预案上墙等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管理融合：门禁管控∶支持通道门禁管控，显示申请开门信息，值班员核验远程开门;支持AB门远程管控，显示A门进出人员信息。管控∶实时感知状态，离位报警触发异常提醒;实时感知状态，双人生物认证，值班员核验远程开柜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综合报警融合：融合各类异常报警，支持不少于警戒雷达、振动光缆、电子围栏、激光对射等高压电网、虚拟越界等各类报警方式，AB门异常等各类异常。支持建立警情分级管理，针对不同异常报警设定不同等级，联动不同预案。一般报警信息通过信息系统信息提示，重点报警信息通过信息系统电子地图自动显示报警防区、关联视频、语音播报，同时推送各单位，联动大屏显示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6、消息通信融合：消息收发：支持通过系统软件向集成箱下发要领、通知等信息，查看自动回复功能；多媒体信息发布：支持通过系统软件向多媒体终端发布排班信息、宣传教育视频、图片、报警信息。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客户端电脑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1、CPU：不低于英特尔® 酷睿™ I5系列；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2、内存：不低于 16G；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3、不低于1T硬盘 、64GSSD硬盘；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4、不低于NVIDIA系列独立显卡 4GB；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智能指挥控制系统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1、支持≧1个不低于23.8寸升降液晶显示屏，电容式触摸屏操作控制；支持HDMI、VGA等多种信号输入显示，支持亮度调节，电容式触摸屏操作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2、支持进行AI人工智能语音交互功能，通过语音识别打开各种常用功能菜单界面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3、根据任务清单设定的时间，支持执行语音查勤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4、支持带权限操作功能，支持指纹、密码验证登录，特殊权限操作需输入密码或指纹信息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5、支持兼容标准SIP/VoIP协议，可单独接入IPPBX电话系统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6、支持≧200万像素高清摄像头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7、支持视频调用、视频播放、摇杆控制、缩放控制、焦距调整、预设点调用等多种云台控制操作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8、支持单屏多用、触控操作、KVM扩容接入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9、支持智能勤务调度主机、信息化终端、门禁终端、联动终端、集群车载台、模拟话机、IP话机、广播等终端集中接入管理和统一音频调度（配合融合通信后台系统使用）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10、支持岗哨门禁控制与门状态检测功能，可对通道门禁终端进行远程开门、验证开门等控制操作，并实时检测和显示门状态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11、支持语音群呼、语音对讲、可视对讲、POC对讲、多方语音会议等功能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12、支持记录查询、单个监听、通话过程监听等功能；支持与哨位终端、语音对讲终端进行单呼、组呼、群呼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13、支持来/去电显示功能，来电语音播报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14、支持一键触发6类主动报警功能，报警联动哨位信息化终端、声光报警器等设备；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15、支持在系统平台瘫痪、系统网络堵塞情况下，应急开启控制；支持取消、一键全部打开功能；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16、支持在系统平台瘫痪、信息化终端离线时，接收离线报警、紧急报警功能；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17、部分管控支持网络、RS485备份传输通讯；支持在系统无故障时为待机状态，当系统故障时自动切换为应急状态；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操作台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1、整体≥3工位操作台，壳体尺寸以及储物抽屉根据实际需要定制；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2、支持集成显示器升降模块，实现触摸显示器自动升降；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3、柜体采用不低于2.0mm厚度冷轧钢板，柜体外表面采用静电喷粉涂装处理；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1159" descr="IMG_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59" descr="IMG_2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4" name="图片 1160" descr="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60" descr="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输入节点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1.不少于1路HDMI输入、1路HDMI输出、1路音频输入、1路音频输出、1路网口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2.支持RS232、IO/IR控制接口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3.支持POE, DC电源互备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4.支持输入输出1080P@60Hz及以下分辨率、输入输出配高质HDMI线最少10米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5.支持5类以上网线100米，支持PoE供电建议80米。（与交换机性能相关）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6.支持H.264、H265编码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13、支持定制客户端界面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14、支持LCD, 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17.支持系统信息、内存利用率、CPU利用率、端口速率实时查询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5" name="图片 1161" descr="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61" descr="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6" name="图片 1162" descr="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62" descr="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分布式输出节点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1.≧1路HDMI输入、≧1路HDMI输出、≧1路音频输入、≧1路音频输出、≧1路网口、≧1路光口（双纤SFP）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2.支持RS232、RS485、IO/IR和Relay控制接口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3.支持光网双备份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4.支持输入输出4K@30Hz、1080P@60Hz及以下分辨率、输入输出配高质HDMI线最少10米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5.支持5类以上网线100米，支持PoE供电建议80米。（与交换机性能相关、光纤距离和选用的光模块相关。）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6.支持H.264编码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7.支持无缝切换，字符叠加，台标功能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8.支持底图，滚动字幕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9.支持信号预览、回显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10.支持多屏组管理控制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11.支持KVM功能，实时性好，坐席输入源预编组调度功能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12.支持亮度、色彩调整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13.支持定制客户端界面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14.支持LCD,LED和DLP拼接处理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15.支持可视化管理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16.支持可编程化控制管理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17.支持常规IPC源解码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18.支持系统信息、内存利用率、CPU利用率、端口速率等实时查询"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千兆管理型交换机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1、≧24个千兆网口+4个千兆SFP口+1个管理端口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2、IEEE802.3/IEEE802.3i/IEEE802.3u/IEEE802.3ab/IEEE802.3z，存储转发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3、以太网端口支持10/100/1000M自适应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4、采用存储转发的交换机制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5、面板指示灯监控工作状态及帮助故障分析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6、特性与无风扇、自然冷却、1U机架式安装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7、802.1x端口认证，支持AAA认证，支持TACACS+认证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8、WEB,TELNET,CLI,SSH,SNMP,RMON管理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单位5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物</w:t>
            </w: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eastAsia="zh-CN"/>
              </w:rPr>
              <w:t>资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质量技术标准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门禁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1、具备视频对讲、开关门状态显示、门开超时报警、停电自动锁闭等功能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2、值班室远程管控，门禁配备应急钥匙置于值班室统一保管，遇有紧急情况由值班员授权开启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0"/>
        <w:gridCol w:w="8517"/>
        <w:gridCol w:w="1747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52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单位6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信息系统升级</w:t>
            </w:r>
          </w:p>
        </w:tc>
        <w:tc>
          <w:tcPr>
            <w:tcW w:w="85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1、升级满足信息软件统一系统功能、统一操作界面、统一协议接口、统一软件版本规范要求。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勤务管理融合：门禁管控∶支持通道门禁管控，显示申请开门信息，值班员核验远程开门;支持AB门远程管控，显示A门进出人员信息。管控∶实时感知状态，离位触发异常提醒;实时感知状态，双人生物认证，值班员核验远程开柜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客户端电脑</w:t>
            </w:r>
          </w:p>
        </w:tc>
        <w:tc>
          <w:tcPr>
            <w:tcW w:w="8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1、CPU：不低于英特尔®酷睿™I5系列；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2、内存：不低于16G；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3、不低于1T硬盘、64GSSD硬盘；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4、不低于NVIDIA系列独立显卡4GB。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备注：执勤信息节点终端（设备）集成融合建设所需设备均需为国产品牌；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执勤信息节点终端（设备）集成融合建设要与各单位原有设备兼容。</w:t>
      </w:r>
    </w:p>
    <w:sectPr>
      <w:footerReference r:id="rId5" w:type="default"/>
      <w:pgSz w:w="16838" w:h="11906" w:orient="landscape"/>
      <w:pgMar w:top="1134" w:right="851" w:bottom="851" w:left="851" w:header="567" w:footer="510" w:gutter="0"/>
      <w:pgNumType w:fmt="decimal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KWtrr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黑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TFkNjljOWUxZjU2MjE5MzIxNDQ5YmQ5ZmE5MzgifQ=="/>
  </w:docVars>
  <w:rsids>
    <w:rsidRoot w:val="001D7823"/>
    <w:rsid w:val="00044F69"/>
    <w:rsid w:val="00094192"/>
    <w:rsid w:val="00095D1D"/>
    <w:rsid w:val="00136AB8"/>
    <w:rsid w:val="001875B5"/>
    <w:rsid w:val="001C43CC"/>
    <w:rsid w:val="001D7823"/>
    <w:rsid w:val="00275F7D"/>
    <w:rsid w:val="00332B0B"/>
    <w:rsid w:val="00364B71"/>
    <w:rsid w:val="0038132D"/>
    <w:rsid w:val="004C7945"/>
    <w:rsid w:val="004E5B47"/>
    <w:rsid w:val="00504450"/>
    <w:rsid w:val="0051329B"/>
    <w:rsid w:val="00574B7A"/>
    <w:rsid w:val="005E3604"/>
    <w:rsid w:val="00622356"/>
    <w:rsid w:val="0068315D"/>
    <w:rsid w:val="006C3445"/>
    <w:rsid w:val="006F2525"/>
    <w:rsid w:val="00701D39"/>
    <w:rsid w:val="00732C5A"/>
    <w:rsid w:val="00785B14"/>
    <w:rsid w:val="007C4235"/>
    <w:rsid w:val="007C5DC6"/>
    <w:rsid w:val="007F4E8C"/>
    <w:rsid w:val="00814391"/>
    <w:rsid w:val="00822569"/>
    <w:rsid w:val="008C3DA6"/>
    <w:rsid w:val="0094638C"/>
    <w:rsid w:val="00A00420"/>
    <w:rsid w:val="00A578FA"/>
    <w:rsid w:val="00A80C1C"/>
    <w:rsid w:val="00AB44C1"/>
    <w:rsid w:val="00AE3B30"/>
    <w:rsid w:val="00BB10DD"/>
    <w:rsid w:val="00BE627A"/>
    <w:rsid w:val="00C360AC"/>
    <w:rsid w:val="00C64B3C"/>
    <w:rsid w:val="00C765B3"/>
    <w:rsid w:val="00CA572D"/>
    <w:rsid w:val="00CD686F"/>
    <w:rsid w:val="00D17E63"/>
    <w:rsid w:val="00DC50BF"/>
    <w:rsid w:val="00E00D00"/>
    <w:rsid w:val="00E41D44"/>
    <w:rsid w:val="00E70E50"/>
    <w:rsid w:val="00EB20D0"/>
    <w:rsid w:val="00ED7803"/>
    <w:rsid w:val="00F44487"/>
    <w:rsid w:val="00FE2CAB"/>
    <w:rsid w:val="00FE5D2F"/>
    <w:rsid w:val="06B525E3"/>
    <w:rsid w:val="0B2C6F13"/>
    <w:rsid w:val="0DCF6CF8"/>
    <w:rsid w:val="11397206"/>
    <w:rsid w:val="169B3E37"/>
    <w:rsid w:val="173126C2"/>
    <w:rsid w:val="185527E1"/>
    <w:rsid w:val="1D0A28D6"/>
    <w:rsid w:val="20A66B45"/>
    <w:rsid w:val="21F37E92"/>
    <w:rsid w:val="261A696E"/>
    <w:rsid w:val="2E7A424F"/>
    <w:rsid w:val="3A224D85"/>
    <w:rsid w:val="3DAC2951"/>
    <w:rsid w:val="414072EA"/>
    <w:rsid w:val="42B20202"/>
    <w:rsid w:val="4E295F06"/>
    <w:rsid w:val="58F429C5"/>
    <w:rsid w:val="5C2665B5"/>
    <w:rsid w:val="74136590"/>
    <w:rsid w:val="754E74B3"/>
    <w:rsid w:val="77F871B9"/>
    <w:rsid w:val="78D93E53"/>
    <w:rsid w:val="7E8E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黑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jc w:val="left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outlineLvl w:val="3"/>
    </w:pPr>
    <w:rPr>
      <w:rFonts w:cs="Times New Roman"/>
      <w:b/>
      <w:bCs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  <w:rPr>
      <w:sz w:val="21"/>
    </w:rPr>
  </w:style>
  <w:style w:type="paragraph" w:styleId="7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1260"/>
        <w:tab w:val="right" w:leader="dot" w:pos="9911"/>
      </w:tabs>
      <w:jc w:val="left"/>
    </w:p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sz w:val="21"/>
    </w:rPr>
  </w:style>
  <w:style w:type="table" w:styleId="13">
    <w:name w:val="Table Grid"/>
    <w:basedOn w:val="12"/>
    <w:qFormat/>
    <w:uiPriority w:val="3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6">
    <w:name w:val="Hyperlink"/>
    <w:basedOn w:val="14"/>
    <w:unhideWhenUsed/>
    <w:qFormat/>
    <w:uiPriority w:val="99"/>
    <w:rPr>
      <w:color w:val="0563C1"/>
      <w:u w:val="single"/>
    </w:rPr>
  </w:style>
  <w:style w:type="character" w:customStyle="1" w:styleId="17">
    <w:name w:val="标题 1 Char"/>
    <w:basedOn w:val="14"/>
    <w:link w:val="2"/>
    <w:qFormat/>
    <w:uiPriority w:val="9"/>
    <w:rPr>
      <w:rFonts w:ascii="Calibri" w:hAnsi="Calibri" w:eastAsia="黑体"/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="Calibri" w:hAnsi="Calibri" w:eastAsia="黑体" w:cs="Times New Roman"/>
      <w:b/>
      <w:bCs/>
      <w:sz w:val="30"/>
      <w:szCs w:val="32"/>
    </w:rPr>
  </w:style>
  <w:style w:type="character" w:customStyle="1" w:styleId="19">
    <w:name w:val="标题 3 Char"/>
    <w:basedOn w:val="14"/>
    <w:link w:val="4"/>
    <w:qFormat/>
    <w:uiPriority w:val="9"/>
    <w:rPr>
      <w:rFonts w:ascii="Calibri" w:hAnsi="Calibri" w:eastAsia="黑体"/>
      <w:b/>
      <w:bCs/>
      <w:sz w:val="28"/>
      <w:szCs w:val="32"/>
    </w:rPr>
  </w:style>
  <w:style w:type="character" w:customStyle="1" w:styleId="20">
    <w:name w:val="标题 4 Char"/>
    <w:basedOn w:val="14"/>
    <w:link w:val="5"/>
    <w:qFormat/>
    <w:uiPriority w:val="9"/>
    <w:rPr>
      <w:rFonts w:ascii="Calibri" w:hAnsi="Calibri" w:eastAsia="黑体" w:cs="Times New Roman"/>
      <w:b/>
      <w:bCs/>
      <w:sz w:val="24"/>
      <w:szCs w:val="2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黑体"/>
      <w:kern w:val="2"/>
      <w:sz w:val="18"/>
      <w:szCs w:val="18"/>
    </w:rPr>
  </w:style>
  <w:style w:type="character" w:customStyle="1" w:styleId="22">
    <w:name w:val="页脚 Char"/>
    <w:basedOn w:val="14"/>
    <w:link w:val="8"/>
    <w:qFormat/>
    <w:uiPriority w:val="0"/>
    <w:rPr>
      <w:rFonts w:ascii="Calibri" w:hAnsi="Calibri" w:eastAsia="黑体"/>
      <w:sz w:val="18"/>
      <w:szCs w:val="18"/>
    </w:rPr>
  </w:style>
  <w:style w:type="character" w:customStyle="1" w:styleId="23">
    <w:name w:val="页眉 Char"/>
    <w:basedOn w:val="14"/>
    <w:link w:val="9"/>
    <w:qFormat/>
    <w:uiPriority w:val="99"/>
    <w:rPr>
      <w:rFonts w:ascii="Calibri" w:hAnsi="Calibri" w:eastAsia="黑体"/>
      <w:sz w:val="18"/>
      <w:szCs w:val="18"/>
    </w:rPr>
  </w:style>
  <w:style w:type="character" w:customStyle="1" w:styleId="24">
    <w:name w:val="font21"/>
    <w:basedOn w:val="1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5">
    <w:name w:val="font01"/>
    <w:basedOn w:val="14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xl7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FF0000"/>
      <w:kern w:val="0"/>
      <w:sz w:val="20"/>
      <w:szCs w:val="20"/>
    </w:rPr>
  </w:style>
  <w:style w:type="paragraph" w:customStyle="1" w:styleId="31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 w:cs="Calibri"/>
      <w:color w:val="000000"/>
      <w:kern w:val="0"/>
      <w:sz w:val="20"/>
      <w:szCs w:val="20"/>
    </w:rPr>
  </w:style>
  <w:style w:type="paragraph" w:customStyle="1" w:styleId="39">
    <w:name w:val="font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 w:cs="Calibri"/>
      <w:color w:val="000000"/>
      <w:kern w:val="0"/>
      <w:sz w:val="20"/>
      <w:szCs w:val="20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4">
    <w:name w:val="xl8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49">
    <w:name w:val="font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5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5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53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9254</Words>
  <Characters>10650</Characters>
  <Lines>127</Lines>
  <Paragraphs>36</Paragraphs>
  <TotalTime>0</TotalTime>
  <ScaleCrop>false</ScaleCrop>
  <LinksUpToDate>false</LinksUpToDate>
  <CharactersWithSpaces>10688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2022-12-12T07:08:00Z</dcterms:created>
  <dc:creator>王 红玢</dc:creator>
  <cp:lastModifiedBy>磊</cp:lastModifiedBy>
  <cp:lastPrinted>2023-04-26T09:05:41Z</cp:lastPrinted>
  <dcterms:modified xsi:type="dcterms:W3CDTF">2023-06-01T07:25:43Z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503A8B9021B54A5280F0E0D09E1134DB_13</vt:lpwstr>
  </property>
</Properties>
</file>