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44"/>
          <w:szCs w:val="44"/>
          <w:lang w:val="en-US" w:eastAsia="zh-CN"/>
        </w:rPr>
        <w:t>16、PICCO监测 1台</w:t>
      </w:r>
    </w:p>
    <w:p>
      <w:pPr>
        <w:numPr>
          <w:ilvl w:val="0"/>
          <w:numId w:val="0"/>
        </w:num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一、主要技术指标：</w:t>
      </w:r>
    </w:p>
    <w:p>
      <w:pPr>
        <w:numPr>
          <w:ilvl w:val="0"/>
          <w:numId w:val="0"/>
        </w:num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1.使用方向:  PulsioFlex是一种微创的测定心输出量、心肺功能、循环和器官功能变化的设备，包括流量、前、后负荷、心肌收缩力、肺水、血氧饱和度、肝功能的指标。评估重症监护病房的</w:t>
      </w:r>
      <w:bookmarkStart w:id="0" w:name="OLE_LINK8"/>
      <w:bookmarkStart w:id="1" w:name="OLE_LINK7"/>
      <w:r>
        <w:rPr>
          <w:rFonts w:hint="eastAsia" w:ascii="仿宋_GB2312" w:eastAsia="仿宋_GB2312"/>
          <w:sz w:val="32"/>
          <w:szCs w:val="32"/>
          <w:lang w:eastAsia="zh-CN"/>
        </w:rPr>
        <w:t>重症</w:t>
      </w:r>
      <w:bookmarkEnd w:id="0"/>
      <w:bookmarkEnd w:id="1"/>
      <w:r>
        <w:rPr>
          <w:rFonts w:hint="eastAsia" w:ascii="仿宋_GB2312" w:eastAsia="仿宋_GB2312"/>
          <w:sz w:val="32"/>
          <w:szCs w:val="32"/>
          <w:lang w:eastAsia="zh-CN"/>
        </w:rPr>
        <w:t>患者以及围手术期高风险病人。</w:t>
      </w:r>
    </w:p>
    <w:p>
      <w:pPr>
        <w:numPr>
          <w:ilvl w:val="0"/>
          <w:numId w:val="0"/>
        </w:num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2.评估心脏功能的指标：内部初始校准值（通过桡动脉连续监测心输出量）/输入外部参考值监测连续的心排量。</w:t>
      </w:r>
    </w:p>
    <w:p>
      <w:pPr>
        <w:numPr>
          <w:ilvl w:val="0"/>
          <w:numId w:val="0"/>
        </w:num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3.反应心肌收缩力的指标：每搏输出量（SV）、心脏做功指数（CPI）、左室收缩力指数（dp/dtmax）。</w:t>
      </w:r>
    </w:p>
    <w:p>
      <w:pPr>
        <w:numPr>
          <w:ilvl w:val="0"/>
          <w:numId w:val="0"/>
        </w:num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4.预测对扩容反应能力的指标：脉压变异（PPV）、每搏量变异（SVV）。</w:t>
      </w:r>
    </w:p>
    <w:p>
      <w:pPr>
        <w:numPr>
          <w:ilvl w:val="0"/>
          <w:numId w:val="0"/>
        </w:num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5.反应容量状态的指标：全心舒张末容积（GEDV）、胸腔内血容积（ITBV）。</w:t>
      </w:r>
    </w:p>
    <w:p>
      <w:pPr>
        <w:numPr>
          <w:ilvl w:val="0"/>
          <w:numId w:val="0"/>
        </w:num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6.评价血管外肺水的指标(EVLW)、肺血管通透指数（PVPI）。</w:t>
      </w:r>
    </w:p>
    <w:p>
      <w:pPr>
        <w:numPr>
          <w:ilvl w:val="0"/>
          <w:numId w:val="0"/>
        </w:num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7.可以选配进行无创脉动式分光光度测量：动脉血氧饱和度（SpO2）、血浆清除率（PDR）、15分钟后ICG的残留率（R15），评估总体肝功能以及连续监控血液内的动脉血氧饱和度。</w:t>
      </w:r>
    </w:p>
    <w:p>
      <w:pPr>
        <w:numPr>
          <w:ilvl w:val="0"/>
          <w:numId w:val="0"/>
        </w:num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8.能通过动脉穿刺获取持续的有创血压监测。</w:t>
      </w:r>
    </w:p>
    <w:p>
      <w:pPr>
        <w:numPr>
          <w:ilvl w:val="0"/>
          <w:numId w:val="0"/>
        </w:num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二、主要用途：</w:t>
      </w:r>
    </w:p>
    <w:p>
      <w:pPr>
        <w:numPr>
          <w:ilvl w:val="0"/>
          <w:numId w:val="0"/>
        </w:num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1.PulsioFlex是一种微创测量的辅助诊断工具，用来监控血压、心肺功能、循环和器官功能变化，可以提供三种技术自由组合（PiCCO2、CeVOX、LiMON）监护处于各种风险中的患者。</w:t>
      </w:r>
    </w:p>
    <w:p>
      <w:pPr>
        <w:numPr>
          <w:ilvl w:val="0"/>
          <w:numId w:val="0"/>
        </w:num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2.评估心脏功能的指标：内部初始校准值/输入外部参考值监测连续的心排量。</w:t>
      </w:r>
    </w:p>
    <w:p>
      <w:pPr>
        <w:numPr>
          <w:ilvl w:val="0"/>
          <w:numId w:val="0"/>
        </w:numPr>
        <w:rPr>
          <w:rFonts w:ascii="宋体" w:hAnsi="宋体" w:cs="Arial Unicode MS"/>
          <w:szCs w:val="21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3.自动识别可扩展模块，根据临床需要参数自由组合，可通过热稀释法校正连续心输出量、连续监测中心静脉氧饱和度以及肝脏功能。</w:t>
      </w:r>
    </w:p>
    <w:p>
      <w:pPr>
        <w:numPr>
          <w:ilvl w:val="0"/>
          <w:numId w:val="0"/>
        </w:num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</w:t>
      </w:r>
      <w:r>
        <w:rPr>
          <w:rFonts w:hint="eastAsia" w:ascii="仿宋_GB2312" w:eastAsia="仿宋_GB2312"/>
          <w:sz w:val="32"/>
          <w:szCs w:val="32"/>
        </w:rPr>
        <w:t>保2年，2小时响应，24小时到场。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</w:t>
      </w:r>
      <w:r>
        <w:rPr>
          <w:rFonts w:hint="eastAsia" w:ascii="仿宋_GB2312" w:eastAsia="仿宋_GB2312"/>
          <w:sz w:val="32"/>
          <w:szCs w:val="32"/>
          <w:lang w:eastAsia="zh-CN"/>
        </w:rPr>
        <w:t>后</w:t>
      </w:r>
      <w:bookmarkStart w:id="2" w:name="_GoBack"/>
      <w:bookmarkEnd w:id="2"/>
      <w:r>
        <w:rPr>
          <w:rFonts w:hint="eastAsia" w:ascii="仿宋_GB2312" w:eastAsia="仿宋_GB2312"/>
          <w:sz w:val="32"/>
          <w:szCs w:val="32"/>
        </w:rPr>
        <w:t>使用。</w:t>
      </w:r>
    </w:p>
    <w:p>
      <w:pPr>
        <w:numPr>
          <w:ilvl w:val="0"/>
          <w:numId w:val="0"/>
        </w:numPr>
        <w:rPr>
          <w:rFonts w:hint="eastAsia" w:ascii="仿宋_GB2312" w:hAnsi="Calibri" w:eastAsia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637EF"/>
    <w:rsid w:val="5F144F0D"/>
    <w:rsid w:val="74136A44"/>
    <w:rsid w:val="7606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2022-06-06T03:25:00Z</dcterms:created>
  <dc:creator>Administrator</dc:creator>
  <cp:lastModifiedBy>Administrator</cp:lastModifiedBy>
  <dcterms:modified xsi:type="dcterms:W3CDTF">2022-06-21T09:32:04Z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