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五项医疗设备采购项目</w:t>
      </w:r>
    </w:p>
    <w:p>
      <w:pPr>
        <w:widowControl/>
        <w:spacing w:line="560" w:lineRule="exact"/>
        <w:ind w:left="880" w:hanging="880" w:hangingChars="200"/>
        <w:jc w:val="center"/>
        <w:rPr>
          <w:rFonts w:ascii="方正小标宋简体" w:eastAsia="方正小标宋简体"/>
          <w:sz w:val="44"/>
          <w:szCs w:val="44"/>
        </w:rPr>
      </w:pPr>
      <w:r>
        <w:rPr>
          <w:rFonts w:hint="eastAsia" w:ascii="方正小标宋简体" w:eastAsia="方正小标宋简体"/>
          <w:sz w:val="44"/>
          <w:szCs w:val="44"/>
        </w:rPr>
        <w:t>技术参数</w:t>
      </w:r>
    </w:p>
    <w:p>
      <w:pPr>
        <w:spacing w:line="579" w:lineRule="exact"/>
        <w:ind w:firstLine="640" w:firstLineChars="200"/>
        <w:rPr>
          <w:rFonts w:ascii="黑体" w:hAnsi="黑体" w:eastAsia="黑体"/>
          <w:szCs w:val="32"/>
        </w:rPr>
      </w:pPr>
      <w:r>
        <w:rPr>
          <w:rFonts w:hint="eastAsia" w:ascii="黑体" w:hAnsi="黑体" w:eastAsia="黑体"/>
          <w:szCs w:val="32"/>
        </w:rPr>
        <w:t>一、妊高症监测仪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1.工作条件;环境温度：5℃～40℃、环境湿度：≤80%；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2.运输和贮存的环境条件:环境温度范围：－40℃～55℃,相对湿度范围：≤95%；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3.该设备根据血流动力学原理，测量孕产妇的桡动脉的脉搏波，得出孕产妇心血管参数；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4.探头灵敏度：≥3mV/mm；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5.放大电路用于放大桡动脉脉搏波压力信号，其技术指标如下：a) 输入阻抗 ≥820 kΩ；b) 放大倍数 ≥30倍；输入基准脉搏波信号时K值误差 ±5%；输入标准信号时心率值误差 ±1%；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 xml:space="preserve">6.反映血管状态的指标：收缩压（Ps）、舒张压（Pd）、平均动脉压（MAP）、脉压差（DP）、血管顺应度（AC）、总外周阻力（TPR）；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7.反映心脏功能的指标：心率（HR）、心搏出量（SV）、每分心搏出量（CO）、心搏指数（SI）、心脏指数（CI）、体表面积（BSA）；</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8.反映血液状态的指标：有效血容量（BV）、全血粘度（V）；</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9.反映微循环功能的指标：微循环半更新率（ ALK）、微循环半更新时间（ ALT）、微循环平均滞留时间（TM）；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 xml:space="preserve">10.其它指标：波形系数（K）、体重指数（BMI）；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11.患者基本信息管理功能：包括病例类别、住院号、姓名、年龄、住址、电话、婚姻状况、血型、孕前信息、妊娠历史、预产期等33项数据，并设置对照组信息；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12.症状体征信息管理功能：包括主诉、血压、蛋白尿、水肿等20项数据；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13.实验室检查管理功能：包括肝功能、肾功能、心肌酶、血液、心电图等19项，并设对照组信息；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14.病情监测信息管理功能：包括血压、尿蛋白、心衰、脑出血、子痫等13项；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15.治疗信息管理功能：（治疗方案设置和对照组设置）治疗方案：包括硫酸镁解痉、 镇静剂、利尿剂、肝素等11类治疗方案，设4项时间信息；疗效评价：包括治疗结果、蛋白尿、子痫前期并发症、肝功能、肾功能、心功能、胎儿生长受限等30项；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16.病例库信息检索功能：可根据住院号、组编号、姓名、年龄、民族、孕周等进行分项和综合检索；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17.病例信息统计功能：包括常规计数、实验室检查、治疗后评价、围产儿、围产妇结局等总计88个项目统计数据;</w:t>
      </w:r>
    </w:p>
    <w:p>
      <w:pPr>
        <w:spacing w:line="579" w:lineRule="exact"/>
        <w:ind w:firstLine="640" w:firstLineChars="200"/>
        <w:rPr>
          <w:rFonts w:ascii="仿宋_GB2312" w:hAnsi="仿宋" w:cs="仿宋"/>
          <w:szCs w:val="32"/>
        </w:rPr>
      </w:pPr>
      <w:r>
        <w:rPr>
          <w:rFonts w:hint="eastAsia" w:ascii="仿宋_GB2312" w:hAnsi="仿宋" w:cs="仿宋"/>
          <w:szCs w:val="32"/>
        </w:rPr>
        <w:t>18.由厂家工程师负责设备的培训工作，整套设备质保两年。</w:t>
      </w:r>
    </w:p>
    <w:p>
      <w:pPr>
        <w:spacing w:line="579" w:lineRule="exact"/>
        <w:ind w:firstLine="640" w:firstLineChars="200"/>
        <w:rPr>
          <w:rFonts w:ascii="黑体" w:hAnsi="黑体" w:eastAsia="黑体"/>
          <w:szCs w:val="32"/>
        </w:rPr>
      </w:pPr>
      <w:r>
        <w:rPr>
          <w:rFonts w:hint="eastAsia" w:ascii="黑体" w:hAnsi="黑体" w:eastAsia="黑体" w:cs="仿宋"/>
          <w:szCs w:val="32"/>
        </w:rPr>
        <w:t>二、</w:t>
      </w:r>
      <w:r>
        <w:rPr>
          <w:rFonts w:hint="eastAsia" w:ascii="黑体" w:hAnsi="黑体" w:eastAsia="黑体"/>
          <w:color w:val="000000"/>
          <w:szCs w:val="32"/>
        </w:rPr>
        <w:t>心肺复苏呼吸机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1.按压技术：采用单点按压结合胸廓束带方式，通过胸泵和心泵机制、模拟心脏搏动原理的智能心肺复苏技术，能比徒手CPR更高效率地改善血流动力学效应，减少复苏过程引起的损伤；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2.按压频率在100-120次／分钟范围内，实际按压频率与设置值误差≤±1次/分钟；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3.按压深度在30-60mm范围内，实际按压深度与设置值误差≤±2，按压释放比至少包括: 1:1；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4.按压通气模式包括：连续按压模式，30:2模式，CPR联动模式；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5.30:2模式下，30次按压后，2次通气停顿时间≤3秒；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6.采用硬质背板，便于快速安装固定病人，缩短准备时间，提高心肺复苏抢救效率；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7.具有按压深度窗口，可显示实际按压深度，参数可视化;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8.最大工作倾斜度：≥45°，在主机工作倾斜度范围内工作状态下，实际按压频率与设定值误差≤±3次/分钟。实际按压深度与设定值误差≤±0.3厘米，确保下楼梯、转运途中能维持持续稳定的胸腔按压；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9.驱动方式：电动电控；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10.电池运行时间：电池充满电情况下，单块电池最大运行时间不少于60分钟。电池最大充电时间：≤2小时；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11.外部交流电源：可接220V交流电，持续稳定实施长时间胸腔按压，并同时给予电池充电；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12.具有电量指示，低电量指示灯闪烁警示后，仍可连续工作时间约15分钟，在不中断按压的状态下，连接外部交流电源，确保持续稳定的胸腔按压；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13.紧急关闭：当主机发生错误，不能继续工作时，可暂停、停止按压或关闭主机；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14.按压头手动归位：当主机发生错误，若按压头未归位，能够手动将按压头推回零位；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15.车载运行性能：在三级公路、行驶速度40km／h，运行200km状态下，以满足长距离转运急救的使用需求；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16.终端显示屏：具有≥2.4英寸TFT彩色屏，同屏显示所有参数，无需翻页；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17.具有USB接口,用于软件维护与升级并具有16G以上超大内存；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18.心肺复苏机能与呼吸机进行蓝牙连接，实现按压与通气同步联动；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19.通过航空适航RTCA DO 160G认证及EN1789《医用车辆和其设备道路救护车标准》;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20.由厂家工程师负责设备的培训工作，整套设备质保两年。</w:t>
      </w:r>
    </w:p>
    <w:p>
      <w:pPr>
        <w:spacing w:line="579" w:lineRule="exact"/>
        <w:ind w:firstLine="640" w:firstLineChars="200"/>
        <w:rPr>
          <w:rFonts w:ascii="黑体" w:hAnsi="黑体" w:eastAsia="黑体" w:cs="仿宋"/>
          <w:szCs w:val="32"/>
        </w:rPr>
      </w:pPr>
      <w:r>
        <w:rPr>
          <w:rFonts w:hint="eastAsia" w:ascii="黑体" w:hAnsi="黑体" w:eastAsia="黑体" w:cs="仿宋"/>
          <w:szCs w:val="32"/>
        </w:rPr>
        <w:t>三、</w:t>
      </w:r>
      <w:r>
        <w:rPr>
          <w:rFonts w:hint="eastAsia" w:ascii="黑体" w:hAnsi="黑体" w:eastAsia="黑体"/>
          <w:color w:val="000000"/>
          <w:szCs w:val="32"/>
        </w:rPr>
        <w:t>立式洗板机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1.多板位一体化设计，单板、双板、多板同时清洗，全程洗板≤20秒;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2.清洗排数1-8或1-12排可调，清洗次数1-999次可调;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3.液体通道大于5个可自动切换，开机自动检测、自动冲洗，关机自动冲洗;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4.内置离心装置，自动脱水，脱水时间0-999秒可调，无需人工拍板;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5.横竖洗板方式8倍数任意可调，96个单针反冲，无吸液针。内置洗板程序≥120组;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6.5个10升高强度液体瓶，洗液及蒸馏水不足报警;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7.工作舱盖开放式设计，开机安全检测。倾斜式底座设计，废液自动排放;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8.具备自检功能、暂停功能、消毒功能，液晶触摸屏，中文菜单;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9.保修2年，2小时响应，24小时到场;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10.设备中标后负责安装到位，交由采购方验收使用。</w:t>
      </w:r>
      <w:bookmarkStart w:id="0" w:name="_Toc59292801"/>
      <w:bookmarkStart w:id="1" w:name="_Toc59291971"/>
      <w:bookmarkStart w:id="2" w:name="_Toc59293008"/>
    </w:p>
    <w:p>
      <w:pPr>
        <w:spacing w:line="579" w:lineRule="exact"/>
        <w:ind w:firstLine="640" w:firstLineChars="200"/>
        <w:rPr>
          <w:rFonts w:hint="eastAsia" w:ascii="黑体" w:hAnsi="黑体" w:eastAsia="黑体"/>
          <w:szCs w:val="32"/>
        </w:rPr>
      </w:pPr>
      <w:r>
        <w:rPr>
          <w:rFonts w:hint="eastAsia" w:ascii="黑体" w:hAnsi="黑体" w:eastAsia="黑体"/>
          <w:szCs w:val="32"/>
        </w:rPr>
        <w:t>四、全自</w:t>
      </w:r>
      <w:r>
        <w:rPr>
          <w:rFonts w:hint="eastAsia" w:ascii="黑体" w:hAnsi="黑体" w:eastAsia="黑体"/>
          <w:sz w:val="36"/>
          <w:szCs w:val="36"/>
        </w:rPr>
        <w:t>动血凝分析</w:t>
      </w:r>
      <w:bookmarkEnd w:id="0"/>
      <w:bookmarkEnd w:id="1"/>
      <w:bookmarkEnd w:id="2"/>
      <w:r>
        <w:rPr>
          <w:rFonts w:hint="eastAsia" w:ascii="黑体" w:hAnsi="黑体" w:eastAsia="黑体"/>
          <w:sz w:val="36"/>
          <w:szCs w:val="36"/>
        </w:rPr>
        <w:t>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整机原装进口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1.流水线样本处理能力：≥</w:t>
      </w:r>
      <w:bookmarkStart w:id="4" w:name="_GoBack"/>
      <w:r>
        <w:rPr>
          <w:rFonts w:hint="eastAsia" w:cs="仿宋_GB2312" w:asciiTheme="minorEastAsia" w:hAnsiTheme="minorEastAsia" w:eastAsiaTheme="minorEastAsia"/>
          <w:sz w:val="28"/>
          <w:szCs w:val="28"/>
          <w:lang w:val="en-US" w:eastAsia="zh-CN"/>
        </w:rPr>
        <w:t>750</w:t>
      </w:r>
      <w:bookmarkEnd w:id="4"/>
      <w:r>
        <w:rPr>
          <w:rFonts w:hint="eastAsia" w:cs="仿宋_GB2312" w:asciiTheme="minorEastAsia" w:hAnsiTheme="minorEastAsia" w:eastAsiaTheme="minorEastAsia"/>
          <w:sz w:val="28"/>
          <w:szCs w:val="28"/>
          <w:lang w:val="en-US" w:eastAsia="zh-CN"/>
        </w:rPr>
        <w:t>管/小时，在同一位置进行进样和出样的管理，最大程度的优化人流和物流；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bookmarkStart w:id="3" w:name="_Hlk136856392"/>
      <w:r>
        <w:rPr>
          <w:rFonts w:hint="eastAsia" w:cs="仿宋_GB2312" w:asciiTheme="minorEastAsia" w:hAnsiTheme="minorEastAsia" w:eastAsiaTheme="minorEastAsia"/>
          <w:sz w:val="28"/>
          <w:szCs w:val="28"/>
          <w:lang w:val="en-US" w:eastAsia="zh-CN"/>
        </w:rPr>
        <w:t>2.可以根据客户的标本量情况，配置不同规格的进出样架子;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3.样本管理模块具有进样、出样、缓冲、分类、错误样本管理等多种功能； 单机样品位≥24个，试剂位≥44个，其中试剂冷藏位≥38个，冷藏温度≤10℃；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4.扩展能力强，可以在不影响流水线正常使用的情况下，根据后期发展情况任意添加样本管理模块;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5.单机检测通道：≥20个：凝固法、发色底物法和免疫比浊法三种方法学均有≥20个检测通道；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6.流水线可兼容使用不同类型试管;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7.血凝分析仪连接自动化轨道后，无需轨道连接硬件，无需借助额外机械臂采样;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8.样本进入流水线后由软件根据仪器负载智能分配运输路径和分析仪器;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9.流水线设计方案灵活多变，量身定制，具有U转，L转，可以满足不同实验室的场地情况;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10.专为凝血提供的智能数据管理系统，WINDOWS系统，开放端口，符合试验室标准数据交换格式，可与LIS连接；具有数据统计功能；与线上分析仪器共享数据详细信息，例如凝固曲线，报警信息等;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11.单机检测速度：PT检测速度≥390测试/小时；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12.检测项目：PT、APTT、FIB、TT、DDimer、FDP、AT、PC、PS Activity、凝血因子FII、FV、FVII、FX、FVIII、FIX、FXI、FXII等;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13.FIB检测：PT衍生FIB法与CLAUSS法可自动转换。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14.原厂配套试剂、质控及校准品，有完整的溯源体系，符合ISO15189质量体系要求;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15.检测方法学：三种方法学的血栓/止血分析系统，包括凝固法、发色底物法、免疫比浊法检测；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16.具有HIL及异常吸样检测功能：1）HIL检测；2）样本量核查；3）异常吸样检测;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17.多波长检测：单机≥4个波长；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18.具备专用独立急诊位，急诊PT出报告时间≤5分钟；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19.可实时观察到各项检测的反应进程及完成反应的剩余时间;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21.定标曲线：单台分析仪可保存≥10条定标曲线，且检测过程中随时可查阅;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22.有凝血因子平行稀释分析功能，可自动显示平行稀释曲线;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23.凝固曲线：凝固曲线和凝固曲线扩展分析能力；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24.实验项目设置：≥50个，支持开放；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25.反应杯：单台分析仪一次装载量≥1000个反应杯，可随时连续装载;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26.保修2年，2小时响应，24小时到场;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32"/>
          <w:szCs w:val="32"/>
          <w:lang w:val="en-US" w:eastAsia="zh-CN"/>
        </w:rPr>
      </w:pPr>
      <w:r>
        <w:rPr>
          <w:rFonts w:hint="eastAsia" w:cs="仿宋_GB2312" w:asciiTheme="minorEastAsia" w:hAnsiTheme="minorEastAsia" w:eastAsiaTheme="minorEastAsia"/>
          <w:sz w:val="28"/>
          <w:szCs w:val="28"/>
          <w:lang w:val="en-US" w:eastAsia="zh-CN"/>
        </w:rPr>
        <w:t>27.设备中标后负责安装到位，交由采购方验收使用。</w:t>
      </w:r>
    </w:p>
    <w:p>
      <w:pPr>
        <w:spacing w:line="579" w:lineRule="exact"/>
        <w:ind w:firstLine="640" w:firstLineChars="200"/>
        <w:rPr>
          <w:rFonts w:ascii="黑体" w:hAnsi="黑体" w:eastAsia="黑体"/>
          <w:color w:val="000000"/>
          <w:szCs w:val="32"/>
        </w:rPr>
      </w:pPr>
      <w:r>
        <w:rPr>
          <w:rFonts w:hint="eastAsia" w:ascii="黑体" w:hAnsi="黑体" w:eastAsia="黑体"/>
          <w:szCs w:val="32"/>
        </w:rPr>
        <w:t>五、</w:t>
      </w:r>
      <w:r>
        <w:rPr>
          <w:rFonts w:hint="eastAsia" w:ascii="黑体" w:hAnsi="黑体" w:eastAsia="黑体"/>
          <w:color w:val="000000"/>
          <w:szCs w:val="32"/>
        </w:rPr>
        <w:t>LEEP高频电刀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（一）主机参数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1.患者漏电流及患者辅助电流要求正常状态下≤0.01mA，单一故障状态下≤0.05mA，需提供证明文件；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2.具有功率输出自动补偿功能，针对不同组织自动调节输出功率达到最佳切割和凝血效果，需提供证明文件；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3.通过EMC电磁兼容认证，有效减少对其他生命检测设备的干扰；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4.工作模式：三种电切模式：纯切、混切1、混切2；两种电凝模式：柔凝/凝切、强凝；两种双极模式：精细双极、标准双极；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5.工作频率：两种工作频率：电切模式频率为330kHz,电凝模式频率为430kHz；</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6.输出功率：整机输出功率为0～200 W，且功率调节精细，1W可调，需提供证明文件；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7.具有开机自检和双回路安全自动监测、控制（自动监测异常并关闭功能输出）功能，并能声光报警提示；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8.中性电极实时监测接触质量系统，全程实时监测极板的工作状态、贴合面积及组织阻抗并以数字形式显示与操作面板上，最大程度的减少因中性电极接触面积减少而造成的灼伤风险，需提供证明文件；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9.误操作报警功能，设备在运行中出现故障能能立刻停止功率输出并显示相应错误代码，及时提醒使用者；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10.功率设置高亮LED数字显示，防水按键方式调节，易于清洁消毒；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11.柔凝/凝切档位，具有组织的切割功能，切割的同时还具有一定的凝血效果；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12.可掉电保存当前使用模式及使用功率并具有自动电压调节功能；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13.采用数字化电路设计，微电脑控制程序，确保输出精细稳定；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14.配套设施：LEEP刀主机和LEEP手术吸烟器均为原装配套，确保临床使用的安全性、可靠性.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（二）LEEP手术吸烟器主要性能参数：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1.具备三级过滤方式，过滤效果可有效滤除99.99%的颗粒物；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2.采用负压吸烟方式，最大真空度：≥14KPa，吸烟流量：≥80L/min，流量输出0～100级连续可调，工作噪声：≤40 db(a)；</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3.吸烟器操作方式具有与LEEP刀电磁感应式自启动功能，无需脚踏控制，吸烟关闭延迟时间设置可调；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4.吸烟器电磁感应方式与LEEP主机联控，LED显示延时关闭时间，0~50秒可调；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5.提供可高温、高压消毒专用带烟道绝缘窥器；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6.LEEP主机和吸烟器与台车一体化机集成设计，方便临床使用。</w:t>
      </w:r>
    </w:p>
    <w:p>
      <w:pPr>
        <w:pStyle w:val="3"/>
        <w:spacing w:after="0" w:line="579" w:lineRule="exact"/>
        <w:ind w:firstLine="640" w:firstLineChars="200"/>
        <w:rPr>
          <w:rFonts w:ascii="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A5"/>
    <w:rsid w:val="000858E8"/>
    <w:rsid w:val="001A1EA5"/>
    <w:rsid w:val="00212F47"/>
    <w:rsid w:val="00280119"/>
    <w:rsid w:val="00330A37"/>
    <w:rsid w:val="005D115E"/>
    <w:rsid w:val="005D185E"/>
    <w:rsid w:val="006740F1"/>
    <w:rsid w:val="00700893"/>
    <w:rsid w:val="00880462"/>
    <w:rsid w:val="009B7C0D"/>
    <w:rsid w:val="00A8401B"/>
    <w:rsid w:val="00D4287F"/>
    <w:rsid w:val="00D92334"/>
    <w:rsid w:val="00DF5C0C"/>
    <w:rsid w:val="00FD2521"/>
    <w:rsid w:val="6AD46134"/>
    <w:rsid w:val="7A0D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Calibri"/>
      <w:kern w:val="2"/>
      <w:sz w:val="21"/>
      <w:szCs w:val="20"/>
    </w:rPr>
  </w:style>
  <w:style w:type="paragraph" w:styleId="3">
    <w:name w:val="Body Text"/>
    <w:basedOn w:val="1"/>
    <w:link w:val="10"/>
    <w:unhideWhenUsed/>
    <w:uiPriority w:val="99"/>
    <w:pPr>
      <w:spacing w:after="12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9"/>
    <w:qFormat/>
    <w:uiPriority w:val="11"/>
    <w:pPr>
      <w:spacing w:before="240" w:after="60" w:line="312" w:lineRule="auto"/>
      <w:jc w:val="center"/>
      <w:outlineLvl w:val="1"/>
    </w:pPr>
    <w:rPr>
      <w:rFonts w:ascii="Cambria" w:hAnsi="Cambria" w:eastAsia="宋体"/>
      <w:b/>
      <w:bCs/>
      <w:kern w:val="28"/>
      <w:szCs w:val="32"/>
    </w:rPr>
  </w:style>
  <w:style w:type="character" w:customStyle="1" w:styleId="9">
    <w:name w:val="副标题 Char"/>
    <w:basedOn w:val="8"/>
    <w:link w:val="6"/>
    <w:uiPriority w:val="11"/>
    <w:rPr>
      <w:rFonts w:ascii="Cambria" w:hAnsi="Cambria" w:eastAsia="宋体" w:cs="Times New Roman"/>
      <w:b/>
      <w:bCs/>
      <w:kern w:val="28"/>
      <w:sz w:val="32"/>
      <w:szCs w:val="32"/>
    </w:rPr>
  </w:style>
  <w:style w:type="character" w:customStyle="1" w:styleId="10">
    <w:name w:val="正文文本 Char"/>
    <w:basedOn w:val="8"/>
    <w:link w:val="3"/>
    <w:uiPriority w:val="99"/>
    <w:rPr>
      <w:rFonts w:ascii="Times New Roman" w:hAnsi="Times New Roman" w:eastAsia="仿宋_GB2312" w:cs="Times New Roman"/>
      <w:sz w:val="32"/>
      <w:szCs w:val="24"/>
    </w:rPr>
  </w:style>
  <w:style w:type="character" w:customStyle="1" w:styleId="11">
    <w:name w:val="页眉 Char"/>
    <w:basedOn w:val="8"/>
    <w:link w:val="5"/>
    <w:semiHidden/>
    <w:uiPriority w:val="99"/>
    <w:rPr>
      <w:rFonts w:ascii="Times New Roman" w:hAnsi="Times New Roman" w:eastAsia="仿宋_GB2312" w:cs="Times New Roman"/>
      <w:sz w:val="18"/>
      <w:szCs w:val="18"/>
    </w:rPr>
  </w:style>
  <w:style w:type="character" w:customStyle="1" w:styleId="12">
    <w:name w:val="页脚 Char"/>
    <w:basedOn w:val="8"/>
    <w:link w:val="4"/>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639</Words>
  <Characters>3645</Characters>
  <Lines>30</Lines>
  <Paragraphs>8</Paragraphs>
  <TotalTime>3</TotalTime>
  <ScaleCrop>false</ScaleCrop>
  <LinksUpToDate>false</LinksUpToDate>
  <CharactersWithSpaces>4276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2023-05-18T02:29:00Z</dcterms:created>
  <dc:creator>temp</dc:creator>
  <cp:lastModifiedBy>cgb</cp:lastModifiedBy>
  <cp:lastPrinted>2022-09-15T00:20:00Z</cp:lastPrinted>
  <dcterms:modified xsi:type="dcterms:W3CDTF">2023-06-29T01:52:06Z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