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left"/>
        <w:rPr>
          <w:rFonts w:hAnsi="黑体" w:eastAsia="黑体"/>
          <w:szCs w:val="32"/>
        </w:rPr>
      </w:pPr>
      <w:r>
        <w:rPr>
          <w:rFonts w:hint="eastAsia" w:hAnsi="黑体" w:eastAsia="黑体"/>
          <w:szCs w:val="32"/>
        </w:rPr>
        <w:t>附件</w:t>
      </w:r>
      <w:r>
        <w:rPr>
          <w:rFonts w:hint="eastAsia" w:hAnsi="黑体" w:eastAsia="黑体"/>
          <w:szCs w:val="32"/>
          <w:lang w:val="en-US" w:eastAsia="zh-CN"/>
        </w:rPr>
        <w:t>2</w:t>
      </w:r>
      <w:r>
        <w:rPr>
          <w:rFonts w:hint="eastAsia" w:hAnsi="黑体" w:eastAsia="黑体"/>
          <w:szCs w:val="32"/>
        </w:rPr>
        <w:t>：住院医生站需求</w:t>
      </w:r>
    </w:p>
    <w:p>
      <w:pPr>
        <w:spacing w:line="579" w:lineRule="exact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一、我院部分科室名称较长，电子病历由于字段长度限制，现长期医嘱单、体温单等所有出现科别和病区的文件，科别显示不全，建议对科别、病区的字段进行扩展。</w:t>
      </w:r>
    </w:p>
    <w:p>
      <w:pPr>
        <w:spacing w:line="579" w:lineRule="exact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二、需要屏蔽以下打印按钮。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5615940" cy="2450465"/>
            <wp:effectExtent l="0" t="0" r="3810" b="6985"/>
            <wp:docPr id="2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79" w:lineRule="exact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三、在病案首页、检查单、检验单、出院证等文件上体现军队相关人员身份。具体如下：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5372100" cy="3313430"/>
            <wp:effectExtent l="0" t="0" r="0" b="1270"/>
            <wp:docPr id="14" name="图片 13" descr="图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图片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line="579" w:lineRule="exact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四、在病历质控系统中对医生已经修改的病历进行提示。</w:t>
      </w:r>
    </w:p>
    <w:p>
      <w:pPr>
        <w:spacing w:line="579" w:lineRule="exact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五、住院医生站检查申请中查看PETCT和脑电图无法查看，报错如下：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5615940" cy="5186680"/>
            <wp:effectExtent l="0" t="0" r="3810" b="13970"/>
            <wp:docPr id="13" name="图片 12" descr="图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图片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518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79" w:lineRule="exact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六、根据检查项目类型在检查、检验单上增加注意事项(包括检查地点指引，检查注意事项提醒等)。</w:t>
      </w:r>
    </w:p>
    <w:p>
      <w:pPr>
        <w:spacing w:line="579" w:lineRule="exact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七、在医生站最上面“病人统计”，“手术情况”栏，加入“床位信息”，显示科室现有床位数、空床数。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5614035" cy="2816225"/>
            <wp:effectExtent l="0" t="0" r="5715" b="3175"/>
            <wp:docPr id="12" name="图片 11" descr="图片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图片4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81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八、调整医生站列表中的科室排序。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2457450" cy="4048125"/>
            <wp:effectExtent l="0" t="0" r="0" b="9525"/>
            <wp:docPr id="5" name="图片 4" descr="图片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图片4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九、安宁新增的检查项目，在EMRS中查看检查报告及对应图像时全部报错，详情如下：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5108575" cy="4566285"/>
            <wp:effectExtent l="0" t="0" r="15875" b="5715"/>
            <wp:docPr id="3" name="图片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0378" cy="456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13B21"/>
    <w:rsid w:val="7D09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2023-06-13T08:33:47Z</dcterms:created>
  <dc:creator>cgb</dc:creator>
  <cp:lastModifiedBy>cgb</cp:lastModifiedBy>
  <dcterms:modified xsi:type="dcterms:W3CDTF">2023-06-13T08:35:36Z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