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附件2：</w:t>
      </w:r>
      <w:bookmarkStart w:id="7" w:name="_GoBack"/>
      <w:bookmarkEnd w:id="7"/>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7"/>
        <w:gridCol w:w="693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937"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937"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937"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287"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937"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报价供应商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937"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287"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937"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3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920" w:firstLineChars="14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80" w:lineRule="exact"/>
        <w:rPr>
          <w:sz w:val="2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rPr>
          <w:rFonts w:eastAsia="方正小标宋简体"/>
          <w:sz w:val="44"/>
          <w:szCs w:val="44"/>
          <w:lang w:val="zh-CN"/>
        </w:rPr>
      </w:pPr>
      <w:r>
        <w:rPr>
          <w:rFonts w:hint="eastAsia" w:eastAsia="方正小标宋简体"/>
          <w:sz w:val="44"/>
          <w:szCs w:val="44"/>
          <w:lang w:val="zh-CN"/>
        </w:rPr>
        <w:t>技术要求响应偏离表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1.技术参数见附件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sz w:val="28"/>
          <w:szCs w:val="28"/>
          <w:lang w:val="zh-CN"/>
        </w:rPr>
        <w:t>供应商全称：（盖章）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1.质保期：自验收合格之日起2年。</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2.质保期内须无偿提供人员和技术支持，配合招标方进行技术改进。</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3.供应商对提供的货物在质保期内，因产品质量而导致的缺陷，必须免费提供包修、包换、包退服务。</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4.质保期内发生故障出现质量问题，必须无偿更换。质保期满后，招标方有权自由选择维修单位，如委托给中标人，中标人不得借故推诿，且维修费须优于市场价格。</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5.质保期内出现的任何由供应商设计或设备缺陷引起的故障，应立即修改方案并在24小时内予以解决，所发生的费用由中标单位承担。</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bookmarkStart w:id="0" w:name="_Toc112638055"/>
      <w:bookmarkStart w:id="1" w:name="_Toc107721415"/>
      <w:bookmarkStart w:id="2" w:name="_Toc107702524"/>
      <w:bookmarkStart w:id="3" w:name="_Toc107587840"/>
      <w:bookmarkStart w:id="4" w:name="_Toc107741444"/>
      <w:bookmarkStart w:id="5" w:name="_Toc107719302"/>
      <w:bookmarkStart w:id="6" w:name="_Toc107717397"/>
      <w:r>
        <w:rPr>
          <w:rFonts w:hint="eastAsia"/>
          <w:sz w:val="28"/>
          <w:szCs w:val="28"/>
          <w:lang w:val="zh-CN" w:eastAsia="zh-CN"/>
        </w:rPr>
        <w:t>故障修复时限</w:t>
      </w:r>
      <w:bookmarkEnd w:id="0"/>
      <w:bookmarkEnd w:id="1"/>
      <w:bookmarkEnd w:id="2"/>
      <w:bookmarkEnd w:id="3"/>
      <w:bookmarkEnd w:id="4"/>
      <w:bookmarkEnd w:id="5"/>
      <w:bookmarkEnd w:id="6"/>
      <w:r>
        <w:rPr>
          <w:rFonts w:hint="eastAsia"/>
          <w:sz w:val="28"/>
          <w:szCs w:val="28"/>
          <w:lang w:val="zh-CN"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1.提供全天候7×24小时的故障维护服务和技术业务咨询服务，并有专业的技术人员负责及时解决系统出现的任何故障。</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eastAsia="zh-CN"/>
        </w:rPr>
      </w:pPr>
      <w:r>
        <w:rPr>
          <w:rFonts w:hint="eastAsia"/>
          <w:sz w:val="28"/>
          <w:szCs w:val="28"/>
          <w:lang w:val="zh-CN" w:eastAsia="zh-CN"/>
        </w:rPr>
        <w:t>2.接到故障报修后，后端平台故障应在1小时内作出响应，前端点位故障应在1小时作出响应，2小时内到达现场排除故障。在规定时间内仍无法排除故障的，投标人须提供备机。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sz w:val="28"/>
          <w:szCs w:val="28"/>
          <w:lang w:val="zh-CN"/>
        </w:rPr>
      </w:pPr>
      <w:r>
        <w:rPr>
          <w:rFonts w:hint="eastAsia"/>
          <w:sz w:val="28"/>
          <w:szCs w:val="28"/>
          <w:lang w:val="zh-CN" w:eastAsia="zh-CN"/>
        </w:rPr>
        <w:t>3.维保点检修人员不能排除故障时，中标人应负责通知生产厂家在12小时内派技术人员到现场解决故障，其费用由中标人自行承担。</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jc w:val="center"/>
        <w:outlineLvl w:val="1"/>
        <w:rPr>
          <w:rFonts w:eastAsia="方正小标宋简体"/>
          <w:color w:val="000000"/>
          <w:sz w:val="44"/>
          <w:szCs w:val="44"/>
        </w:rPr>
      </w:pPr>
      <w:r>
        <w:rPr>
          <w:rFonts w:hint="eastAsia" w:eastAsia="方正小标宋简体"/>
          <w:color w:val="000000"/>
          <w:sz w:val="44"/>
          <w:szCs w:val="44"/>
        </w:rPr>
        <w:t>报价单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sz w:val="28"/>
          <w:szCs w:val="28"/>
          <w:lang w:val="zh-CN"/>
        </w:rPr>
        <w:t>供应商全称</w:t>
      </w:r>
      <w:r>
        <w:rPr>
          <w:rFonts w:hint="eastAsia"/>
          <w:color w:val="000000"/>
          <w:sz w:val="28"/>
          <w:szCs w:val="28"/>
        </w:rPr>
        <w:t>：（盖章）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294382"/>
    <w:rsid w:val="0044778A"/>
    <w:rsid w:val="005D2531"/>
    <w:rsid w:val="006F673F"/>
    <w:rsid w:val="007E54A2"/>
    <w:rsid w:val="00980928"/>
    <w:rsid w:val="009C562A"/>
    <w:rsid w:val="009E1734"/>
    <w:rsid w:val="00B8260F"/>
    <w:rsid w:val="00DD7F8F"/>
    <w:rsid w:val="00E40C9C"/>
    <w:rsid w:val="00FF29D8"/>
    <w:rsid w:val="07BC0ED1"/>
    <w:rsid w:val="0AE32EBE"/>
    <w:rsid w:val="10E06D01"/>
    <w:rsid w:val="113569B8"/>
    <w:rsid w:val="1ADE3ED4"/>
    <w:rsid w:val="1F610698"/>
    <w:rsid w:val="268F7CBC"/>
    <w:rsid w:val="28FA5860"/>
    <w:rsid w:val="2BA84A38"/>
    <w:rsid w:val="2C405DF8"/>
    <w:rsid w:val="37F016CC"/>
    <w:rsid w:val="3A24270F"/>
    <w:rsid w:val="408D6218"/>
    <w:rsid w:val="57E616E2"/>
    <w:rsid w:val="59CA1168"/>
    <w:rsid w:val="5AF24693"/>
    <w:rsid w:val="5C2827F0"/>
    <w:rsid w:val="715C1516"/>
    <w:rsid w:val="7E193752"/>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 w:type="paragraph" w:customStyle="1" w:styleId="10">
    <w:name w:val="列出段落1"/>
    <w:basedOn w:val="1"/>
    <w:qFormat/>
    <w:uiPriority w:val="0"/>
    <w:pPr>
      <w:widowControl/>
      <w:ind w:left="720" w:firstLine="360"/>
      <w:jc w:val="left"/>
    </w:pPr>
    <w:rPr>
      <w:rFonts w:ascii="Calibri" w:hAnsi="Calibri"/>
      <w:kern w:val="0"/>
      <w:sz w:val="22"/>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260</Words>
  <Characters>1487</Characters>
  <Lines>12</Lines>
  <Paragraphs>3</Paragraphs>
  <TotalTime>1</TotalTime>
  <ScaleCrop>false</ScaleCrop>
  <LinksUpToDate>false</LinksUpToDate>
  <CharactersWithSpaces>1744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cp:lastPrinted>2023-07-07T06:50:00Z</cp:lastPrinted>
  <dcterms:modified xsi:type="dcterms:W3CDTF">2023-07-24T03:09:45Z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