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adjustRightInd w:val="0"/>
        <w:snapToGrid w:val="0"/>
        <w:spacing w:line="360" w:lineRule="auto"/>
        <w:jc w:val="center"/>
        <w:rPr>
          <w:rFonts w:hint="default" w:ascii="宋体" w:hAnsi="宋体" w:eastAsiaTheme="minorEastAsia"/>
          <w:b/>
          <w:color w:val="000000" w:themeColor="text1"/>
          <w:spacing w:val="-2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</w:pPr>
      <w:r>
        <w:rPr>
          <w:rFonts w:hint="eastAsia" w:ascii="宋体" w:hAnsi="宋体"/>
          <w:b/>
          <w:color w:val="000000" w:themeColor="text1"/>
          <w:spacing w:val="-2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医疗设备招标参数</w:t>
      </w:r>
      <w:bookmarkStart w:id="0" w:name="_GoBack"/>
      <w:bookmarkEnd w:id="0"/>
    </w:p>
    <w:p>
      <w:pPr>
        <w:adjustRightInd w:val="0"/>
        <w:snapToGrid w:val="0"/>
        <w:spacing w:line="360" w:lineRule="auto"/>
        <w:jc w:val="center"/>
      </w:pPr>
      <w:r>
        <w:rPr>
          <w:rFonts w:hint="eastAsia" w:ascii="宋体" w:hAnsi="宋体"/>
          <w:b/>
          <w:color w:val="000000" w:themeColor="text1"/>
          <w:spacing w:val="-2"/>
          <w:kern w:val="0"/>
          <w:sz w:val="30"/>
          <w:szCs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color w:val="000000" w:themeColor="text1"/>
          <w:spacing w:val="-2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一</w:t>
      </w:r>
      <w:r>
        <w:rPr>
          <w:rFonts w:hint="eastAsia" w:ascii="宋体" w:hAnsi="宋体"/>
          <w:b/>
          <w:color w:val="000000" w:themeColor="text1"/>
          <w:spacing w:val="-2"/>
          <w:kern w:val="0"/>
          <w:sz w:val="30"/>
          <w:szCs w:val="30"/>
          <w14:textFill>
            <w14:solidFill>
              <w14:schemeClr w14:val="tx1"/>
            </w14:solidFill>
          </w14:textFill>
        </w:rPr>
        <w:t>包</w:t>
      </w:r>
    </w:p>
    <w:tbl>
      <w:tblPr>
        <w:tblStyle w:val="2"/>
        <w:tblpPr w:leftFromText="180" w:rightFromText="180" w:vertAnchor="text" w:horzAnchor="page" w:tblpX="1357" w:tblpY="172"/>
        <w:tblOverlap w:val="never"/>
        <w:tblW w:w="950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0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设备名称：全自动酶联免疫分析仪（含ELISA工作站）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购置台件：1台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一、参数及性能要求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1.技术参数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 基本功能：全自动完成ELISA实验，包括标本分配、试剂加注、稀释、振荡、孵育、洗板、判读。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 加样模块：≥2个加样通道，一次性可视加样针；具有液面和凝块探测、报警功能；加样范围5-1000 ul,加样精度100ul精密度≤2%，准确度≤3%；同时加样板位≥8块96孔微板。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 洗板模块：≥2个洗板位，每个洗板位≥16通道双针洗板头，清洗残液量≤3ul/孔；多种洗板方式，洗板机可独立程序运行；洗板头便于拆卸处理堵孔。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 振荡孵育模块：≥6个独立振荡孵育位，温度范围不窄于室温～60℃可调，温度偏差≤±0.5℃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 酶标模块：模块独立，内置1台酶标仪（有独立操作软件，可脱离主机单独使用），标准滤光片配置405nm、450nm、492nm、630nm滤光片；≥8个测量通道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 机械臂抓手自动感应监测抓板状态，自动适应各种宽度微板，抓空报警功能；通用式板架；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 试剂应用范围：试剂为开放试剂，试剂位≥20；标本位≥160，具备标本条码自动扫描功能；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 软件：全中文操作软件，与LISS双向通讯；同一批标本自定义项目，同一微板多项目检测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 负责与医院LISS系统连接，连接LISS系统产生的费用由供应商承担。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二、选配与消耗品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 工作电脑2台；废液桶4个；试剂桶8个；加样针盒4个；一次性加样针1盒。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 提供耗材清单及报价。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2.3 提供所投设备配置清单。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三、售后服务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 西北地区有常驻维修机构和技术人员，配件供应充足。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 免费质保≥2年。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 培训：现场对使用及维修人员进行技术培训。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 维修响应时间≤24小时。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四、付款方式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50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验收合格后分期付款。</w:t>
            </w:r>
          </w:p>
        </w:tc>
      </w:tr>
    </w:tbl>
    <w:p/>
    <w:p/>
    <w:p>
      <w:r>
        <w:br w:type="page"/>
      </w:r>
    </w:p>
    <w:tbl>
      <w:tblPr>
        <w:tblStyle w:val="2"/>
        <w:tblpPr w:leftFromText="180" w:rightFromText="180" w:vertAnchor="text" w:horzAnchor="page" w:tblpX="1491" w:tblpY="301"/>
        <w:tblOverlap w:val="never"/>
        <w:tblW w:w="924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240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设备名称：细菌培养恒温摇床振荡器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购置台件：1台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一、参数及性能要求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1.技术参数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 产品类别：生命科学仪器。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 控制方式：PID微电脑。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 温度范围：RT+5-60；温控波动度（℃）：+-0.5(37℃时）；温控均匀度（℃）：+-1(37℃时）。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 定时范围（h）：0-999。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 类型：试验箱。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FFFFFF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 回旋往复频率范围（r/min)30-300(x)/30-250(F)。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二、选配与消耗品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2.1 提供耗材清单及报价。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2.2 提供所投设备配置清单。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三、售后服务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3.1 西北地区有常驻维修机构和技术人员，配件供应充足。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3.2 免费质保≥2年。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3.3 培训：现场对使用及维修人员进行技术培训。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3.4 维修响应时间≤24小时。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四、付款方式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10" w:hRule="atLeast"/>
        </w:trPr>
        <w:tc>
          <w:tcPr>
            <w:tcW w:w="924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验收合格后分期付款。</w:t>
            </w:r>
          </w:p>
        </w:tc>
      </w:tr>
    </w:tbl>
    <w:p/>
    <w:p/>
    <w:p/>
    <w:p>
      <w:r>
        <w:br w:type="page"/>
      </w:r>
    </w:p>
    <w:tbl>
      <w:tblPr>
        <w:tblStyle w:val="2"/>
        <w:tblpPr w:leftFromText="180" w:rightFromText="180" w:vertAnchor="page" w:horzAnchor="page" w:tblpX="1418" w:tblpY="2032"/>
        <w:tblOverlap w:val="never"/>
        <w:tblW w:w="9495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auto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495"/>
      </w:tblGrid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设备名称：裂隙灯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购置台件：2台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一、参数及性能要求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1.技术参数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 ★原装进口。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1.2 ★放大倍数：5档:6x,10x,16x,25x,40x。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1.3 ★视场直径：41mm -5.7mm。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1.4 ★目镜放大倍数：12.5x，屈光补偿±8D。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1.5 裂隙长度：0.2/1/3/5/9/12mm不同档，1-12mm连续可调并有刻度指示。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1.6 裂隙宽度：0-12mm连续可调。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1.7 裂隙旋转角度：±90°连续可调。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1.8 裂隙偏轴角度：水平±4°范围。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1.9 裂隙棱镜旋转角度：180°范围内任意角度，可在0°锁定。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1.10 ★入射角度：0°/5°/10°/15°/20°不同档。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1.11 ★滤光片：蓝, 绿（无赤光），灰，红内开式；弥散光片,内开式；吸收滤光片(黄）,内开式。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1.12 自由工作距离：88mm。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1.13 底座位移度：水平30mm；X轴110mm；Y轴90mm。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1.14 下颌托垂直移动度：59mm。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1.15 光源（入射光）：LED。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1.16 光亮度：连续可调。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1.17 示教系统：配助手示教镜1个。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1.18 数码工作站：可升级摄像及图文工作站。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8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1.19 ★合格证明：通过欧洲CE认证，国内合法注册。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二、选配与消耗品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1、提供耗材清单及报价。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2、提供所投设备配置清单。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三、售后服务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1、西北地区有常驻维修机构和技术人员，配件供应充足。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 w:color="auto" w:fill="auto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2、免费质保≥2年。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3、培训：现场对使用及维修人员进行技术培训。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4、维修响应时间≤24小时。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b/>
                <w:bCs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四、付款方式</w:t>
            </w:r>
          </w:p>
        </w:tc>
      </w:tr>
      <w:tr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20" w:hRule="atLeast"/>
        </w:trPr>
        <w:tc>
          <w:tcPr>
            <w:tcW w:w="949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keepNext w:val="0"/>
              <w:keepLines w:val="0"/>
              <w:widowControl/>
              <w:suppressLineNumbers w:val="0"/>
              <w:jc w:val="left"/>
              <w:textAlignment w:val="center"/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sz w:val="24"/>
                <w:szCs w:val="24"/>
                <w:u w:val="none"/>
              </w:rPr>
            </w:pPr>
            <w:r>
              <w:rPr>
                <w:rFonts w:hint="default" w:ascii="仿宋_GB2312" w:hAnsi="宋体" w:eastAsia="仿宋_GB2312" w:cs="仿宋_GB2312"/>
                <w:i w:val="0"/>
                <w:iCs w:val="0"/>
                <w:color w:val="000000"/>
                <w:kern w:val="0"/>
                <w:sz w:val="24"/>
                <w:szCs w:val="24"/>
                <w:u w:val="none"/>
                <w:lang w:val="en-US" w:eastAsia="zh-CN" w:bidi="ar"/>
              </w:rPr>
              <w:t>验收合格后分期付款。</w:t>
            </w:r>
          </w:p>
        </w:tc>
      </w:tr>
    </w:tbl>
    <w:p>
      <w:pPr>
        <w:adjustRightInd w:val="0"/>
        <w:snapToGrid w:val="0"/>
        <w:spacing w:line="360" w:lineRule="auto"/>
        <w:jc w:val="center"/>
      </w:pPr>
      <w:r>
        <w:rPr>
          <w:rFonts w:hint="eastAsia" w:ascii="宋体" w:hAnsi="宋体"/>
          <w:b/>
          <w:color w:val="000000" w:themeColor="text1"/>
          <w:spacing w:val="-2"/>
          <w:kern w:val="0"/>
          <w:sz w:val="30"/>
          <w:szCs w:val="30"/>
          <w14:textFill>
            <w14:solidFill>
              <w14:schemeClr w14:val="tx1"/>
            </w14:solidFill>
          </w14:textFill>
        </w:rPr>
        <w:t>第</w:t>
      </w:r>
      <w:r>
        <w:rPr>
          <w:rFonts w:hint="eastAsia" w:ascii="宋体" w:hAnsi="宋体"/>
          <w:b/>
          <w:color w:val="000000" w:themeColor="text1"/>
          <w:spacing w:val="-2"/>
          <w:kern w:val="0"/>
          <w:sz w:val="30"/>
          <w:szCs w:val="30"/>
          <w:lang w:val="en-US" w:eastAsia="zh-CN"/>
          <w14:textFill>
            <w14:solidFill>
              <w14:schemeClr w14:val="tx1"/>
            </w14:solidFill>
          </w14:textFill>
        </w:rPr>
        <w:t>二</w:t>
      </w:r>
      <w:r>
        <w:rPr>
          <w:rFonts w:hint="eastAsia" w:ascii="宋体" w:hAnsi="宋体"/>
          <w:b/>
          <w:color w:val="000000" w:themeColor="text1"/>
          <w:spacing w:val="-2"/>
          <w:kern w:val="0"/>
          <w:sz w:val="30"/>
          <w:szCs w:val="30"/>
          <w14:textFill>
            <w14:solidFill>
              <w14:schemeClr w14:val="tx1"/>
            </w14:solidFill>
          </w14:textFill>
        </w:rPr>
        <w:t>包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仿宋_GB2312">
    <w:altName w:val="仿宋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9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jE5MjJiYTE4YWVjYTViN2U3Mjg3NDgwNzliNTM0MDUifQ=="/>
  </w:docVars>
  <w:rsids>
    <w:rsidRoot w:val="59E55DC1"/>
    <w:rsid w:val="0AD47FCE"/>
    <w:rsid w:val="4DD74998"/>
    <w:rsid w:val="59E55DC1"/>
    <w:rsid w:val="73DB47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character" w:styleId="4">
    <w:name w:val="Hyperlink"/>
    <w:basedOn w:val="3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4</TotalTime>
  <ScaleCrop>false</ScaleCrop>
  <LinksUpToDate>false</LinksUpToDate>
  <CharactersWithSpaces>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2023-08-24T01:18:00Z</dcterms:created>
  <dc:creator>習慣沉默</dc:creator>
  <cp:lastModifiedBy>習慣沉默</cp:lastModifiedBy>
  <dcterms:modified xsi:type="dcterms:W3CDTF">2023-08-24T01:28:46Z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388C37A38B6048138279818DABEDBFB9_11</vt:lpwstr>
  </property>
</Properties>
</file>