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beforeLines="100" w:afterLines="100" w:line="579" w:lineRule="exact"/>
        <w:ind w:firstLine="880" w:firstLineChars="20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LED显示屏采购</w:t>
      </w:r>
      <w:r>
        <w:rPr>
          <w:rFonts w:hint="eastAsia" w:ascii="方正小标宋简体" w:hAnsi="宋体" w:eastAsia="方正小标宋简体"/>
          <w:sz w:val="44"/>
          <w:szCs w:val="44"/>
        </w:rPr>
        <w:t>项目技术要求</w:t>
      </w:r>
    </w:p>
    <w:p>
      <w:pPr>
        <w:spacing w:beforeLines="100" w:afterLines="100" w:line="579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一、设备参数一览表</w:t>
      </w:r>
    </w:p>
    <w:tbl>
      <w:tblPr>
        <w:tblStyle w:val="7"/>
        <w:tblW w:w="1050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33"/>
        <w:gridCol w:w="6928"/>
        <w:gridCol w:w="368"/>
        <w:gridCol w:w="787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9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全彩LED显示屏</w:t>
            </w:r>
          </w:p>
        </w:tc>
        <w:tc>
          <w:tcPr>
            <w:tcW w:w="6928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1.像素点间距：≤2mm；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2.净屏尺寸：2.88×1.92×2（块）；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 w:firstLine="1260" w:firstLineChars="60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11.84×1.12×1（块）；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 w:firstLine="1260" w:firstLineChars="600"/>
              <w:jc w:val="left"/>
              <w:rPr>
                <w:rFonts w:hint="default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5.76×2.4×1（块）；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3.信号衰减：≤200mV；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4.低转折节能：4档可调节恒流拐点电压（0.16V/0.24V/0.32V/0.4V)；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5.显示屏高亮效率：≥99％；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6.防窃密：具有良好的抗还原性能，具有良好的覆盖性，覆盖范围广，从9.9KHz—1.2GHz，抑制传导辐射，对视频信息无二次转发与加强作用；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7.反射比：可见光投射比≥89.89%，因磨耗引起的雾度≤ 1.30%；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8.纹波及噪音：≤180Mv；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9.TPM安全芯片：支持TPM安全芯片，能有效地保护PC、防止非法用户访问；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10.节能技术：红灯与蓝绿灯采用分组电源、分电压对模组进行供电；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11.存储容量：≥16Kb；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12.灯珠冷热冲击： -50℃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～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130℃各15min200次，测试结束后光电特性及表面结构正常，且能正常点亮；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13.灯珠高温贮存：Ta=100℃贮存500H，灯珠点亮无异常，测试结束后能正常点亮；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14.电气间隙：对电气间隙试验的要求，属于I类产品；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15.爬电距离：绝缘穿透距离≥0.4mm，外部爬电距离＞7.0mm；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16.显示单元漏光度：≤0.01cd/㎡；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17.所投产品通过回扫线或频闪现象、图像均匀性、大面积色彩还原、灰阶表现力1、灰度表现力2（伪轮廓现象）、运动图像清晰度、静态图像清晰度等相关试验，检测结果评分：5分；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18.电压波动和闪烁：通过GB17625.2标准限值要求，测试过程中样品无异常，符合性能判据A；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19.单一故障条件测试：模拟单一故障条件下，显示屏无起火和电击的危险发生；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20.静电电压衰减：(±1000V-±100V）≤2s；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21.信号延迟：≤2.5ns；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23.为了保证工作场所的无噪音影响，LED显示屏必须通过噪声实验，在方圆1m内，噪音声压须≤6.5dBA；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24.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为确保LED显示屏工作过程中不对其环境中的其他设备造成电磁干扰，电磁辐射满足AS</w:t>
            </w:r>
            <w:r>
              <w:rPr>
                <w:rFonts w:hint="eastAsia" w:hAnsi="宋体" w:cs="宋体"/>
                <w:b w:val="0"/>
                <w:bCs/>
                <w:snapToGrid w:val="0"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NZS CISPR 32:2015的A类电磁兼容性等级认证</w:t>
            </w:r>
            <w:r>
              <w:rPr>
                <w:rFonts w:hint="eastAsia" w:hAnsi="宋体" w:eastAsia="宋体" w:cs="宋体"/>
                <w:b w:val="0"/>
                <w:bCs/>
                <w:snapToGrid w:val="0"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；</w:t>
            </w: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38.14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2450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6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处理器</w:t>
            </w:r>
          </w:p>
        </w:tc>
        <w:tc>
          <w:tcPr>
            <w:tcW w:w="6928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采用金属结构机箱，插卡式设计，具有灵活多变的扩展性能；外壳防护等级符合GB/T4208-2017中IP20的要求。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单台设备同时最大支持160路2K输入及128路2K输出。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单台设备同时最大支持40路4K60@Hz输入及32路4K@60Hz输出。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单板卡支持2路4K60Hz输入或2路4K60Hz输出。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单板卡支持8路2K60Hz输入或8路HDMI2K60HZ输出。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输入板卡类型：HDMI2.1、DP1.4、HDMI2.0、DP1.2、12G-SDI、HDMI1.4、HDMI1.3、DVI、3G-SDI、IP、HDBaseT、CVBS、VGA。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输出板卡类型：HDMI2.0、DP1.2、HDMI1.3、DVI、HDBaseT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zh-CN"/>
              </w:rPr>
              <w:t>HDMI2.1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zh-CN"/>
              </w:rPr>
              <w:t>DP1.3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输入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最大分辨率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zh-CN"/>
              </w:rPr>
              <w:t>8K@30Hz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单台设备最大支持192个图层，可跨输出口显示、支持任意叠加，大小可任意设置。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单一输出口可实现24个图层同时显示，支持任意叠加，大小可任意设置。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4K输入（HDMI2.0、DP1.2）支持4096*2160@60Hz或7680*1080@60Hz、RGB444、Ycbcr444、YCbCr422视频格式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支持分组屏管理，可同时管理八组屏幕，每组屏幕相应的输出口分辨率可分别设定，以应对异形屏或复杂场景下多种显示终端的混合控制。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支持测试画面图像，且支持间距、速度、亮度调节，无需接入有效视频源，即可快速检验物理输出接口是否正常。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HDMI2.0、DP1.2、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HDMI1.4、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HDMI1.3输入输出板卡支持内嵌音频。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HDMI2.0、DP1.2、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HDMI1.4、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HDMI1.3输出板卡支持3.5mm音频接口输出。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支持图层参数设置，包括图层画面截取、冻结、叠加、图层优先级、无极缩放、图层全屏和自适应接口全屏。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HDMI1.3/DVI输出板卡视频输出接口输出分辨率自定义宽度或高度最大支持4096像素。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支持字幕叠加功能，可在视频图像上叠加文字，用户可设置字体大小、叠加位置、字体间距、滚动方向及滚动速度等参数。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单屏幕最大支持8个字幕，单屏幕支持对联形字幕。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支持输入字符叠加功能，可在各个输入信号中嵌入字符，对输入信号进行标识，画面显示输入信号的同时显示嵌入的字符，用户可设置字符的位置、背景等参数。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支持视频输入接和输出接口的EDID管理，包括</w:t>
            </w:r>
            <w:bookmarkStart w:id="0" w:name="_Hlk130034325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预设分辨率设置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、自定义分辨率设置、EDID模板导入导出、高级时序设置。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支持在进行画面的信号切换或者模式调用时无缝切换，整个过程无黑屏、无闪烁、无卡顿。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支持输入源画面进行任意截取，可快速实现不同截取参数的输入源快速开窗调用，截取后可作为一个新输入源，不影响原输入源的使用。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支持多路输入信号组合轮巡功能，可以将多路输入信号组合成单路信号，以完成组合信号开窗、切换操作，简捷便利。</w:t>
            </w:r>
          </w:p>
          <w:p>
            <w:pPr>
              <w:pStyle w:val="2"/>
              <w:numPr>
                <w:ilvl w:val="0"/>
                <w:numId w:val="1"/>
              </w:numPr>
              <w:spacing w:before="153"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采用 Web 端控制，操作实时响应，采用 1000M/100M 自适应网络接口，支持100个户同时访问。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内嵌B/S拼接器配置软件，无需安装应用程序，支持在Windows、MAC、麒麟（Kylin）、 Android、 Linux操作系统环境下进行操作,轻松实现跨平台、跨系统的交互与访问控制。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内嵌B/S拼接器配置软件与设备采用高速以太网连接，带宽高达1000Mbps， 支持无线和有线接入，支持多用户同时在线并下发数据，实时上屏和多客户端同步，操作响应时间不大于60ms，带来更流畅的操作体验.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支持通过内嵌B/S拼接器配置软件，可在线完成固件升级，固件版本智能向前兼容，升级过程安全、稳定、快速，成功率高达100%，且可实时刷新显示设备及各板卡的固件版本信息，便于现场快速确认升级结果。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可通过移动终端进行无线控制，实现配屏、图层编辑、信号切换、场景保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存/调取、场景轮巡等操作。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支持实时模式和预编模式两种模式，实时模式下，实现用户编辑的实时上屏显示，操作体验流畅，预编模式下，用户可在不影响当前播出画面的情况下对图层进行编辑，确认无误后一键推送上屏。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场景管理，可将不同预设参数保存为场景，场景可以设置为图片或视频，一键调用，最大支持2000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场景。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场景切换支持无缝切换，调用响应时间不大于60ms。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bidi="zh-CN"/>
              </w:rPr>
              <w:t>支持场景轮巡功能，不同场景可按用户制定的计划自动进行切换。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支持用户权限分级管理和设置，超级管理员在设置用户登录权限时可分配用户使用权限，有效屏蔽敏感信息，确保信息安全。</w:t>
            </w: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6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发送卡</w:t>
            </w:r>
          </w:p>
        </w:tc>
        <w:tc>
          <w:tcPr>
            <w:tcW w:w="692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1、支持一路DVI视频信号输入。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2、4个千兆网口输出，可支持260万像素带载，支持上下、左右任意拼接。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3、支持视频信号与音频信号同步传输。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4、支持存储备份数据功能，发送控制器能保存整屏调试参数信息，通过发送卡可一键恢复屏幕完整参数。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5、可修改输入EDID信息，支持自定义输入分辨率，输出带载最宽可达4000像素，最高可达2000像素。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6、可回传发送控制器控制的接收卡信息，包括接收卡所在网口、序号、型号、版本号、温度、网线通讯状态、配置参数等内容。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7、可回传发送控制器的序号、型号、版本号、带载的接收卡信息、配置参数信息等内容。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8、为满足各种使用场景，可更改显示屏的色温显示。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9、发送控制器连接关系变更时可以在屏幕中看到实时效果反馈，并可快速保存连接关系参数到发送控制器中。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10、可通过控制软件回读每一张接收的参数、连接关系及本发送控制器参数，支持多个发送控制器连接图回读。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11、支持亮度调节在低亮度时完成高灰度显示。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12、支持亮度、对比度调节，可实现0-255级亮度及对比度调节。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13、多个发送控制器可进行级联拼接，各个控制器之间保持严格同步，支持USB接口控制，可级联多台进行统一控制。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14、支持发送控制区域接收卡任意位置标定。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15、多个发送控制器之间、发送控制器各个网口之间，可指定区域进行备份显示控制。。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16、支持一键修缝功能，可消除显示屏单元之间的亮暗线。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17、为方便日常维护，可导入导出发送控制器的校正参数。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18、具备电源反接保护电路，防范电源反接伤害。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19、可配合亮度传感器实现根据环境亮度调节屏幕显示亮度。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20、具备色彩还原技术，能够针对LED屏显示特性，真实地展现图像原本色彩。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21、可通过上位机软件设置发送卡显示正常、黑屏、锁屏的状态。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22、可单独设置每张发送卡的名称，在多机级联时可便捷选择控制。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23、采用独立的电源供电系统，稳定性更强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24、可提供控制卡生产厂家针对本项目的售后服务承诺函（加盖厂家鲜章）。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25、可提供LED控制系统计算机软件著作权登记证书。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26、控制系统同品牌，与控制系统其他分项无缝兼容，完全满足控制系统性能需求。控制系统（含多画面拼接器、视频控制器、独立主控、同步接收卡）采用同一生产厂家同一品牌产品，严禁贴牌。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27、设备通过CQC认证，并可提供相应证书（加盖厂家鲜章）</w:t>
            </w: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red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6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接受卡</w:t>
            </w:r>
          </w:p>
        </w:tc>
        <w:tc>
          <w:tcPr>
            <w:tcW w:w="692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1、单卡12个标准HUB75E接口，输出24组RGB数据。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2、支持向导式设置，用户根据软件提示即可完成操作，便于完成模组的点亮。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3、支持高灰高刷、低亮高灰显示，可消除某行偏暗、低灰偏红、鬼影等细节问题。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4、为保障屏幕色彩一致性，支持亮度、色度逐点校正，提供校正低灰补偿，保障低灰显示效果。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5、支持一键修缝功能，可消除显示单元间的亮暗线，且不影响原始校正系数。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6、支持各种PWM芯片、双锁存芯片、通用芯片；支持静态屏、1/2～1/64扫之间的任意扫描类型。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7、支持智能串线功能，无需了解接收卡串线顺序，用户可根据屏幕闪烁提示，在软件上完成映射设置。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8、支持抽点显示与数据偏移，可完成异形屏带载。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9、支持一键回读，通过软件可一键回读所有配置文件信息，方便进行产品维护。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10、支持一键修复，维护更换卡时无需对其重新调试，可一键恢复参数设置。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11、可对产品网络通信状态进行实时检测，反馈数据包总数、错误包数及网线连接顺序、在线接收卡数量等数据。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12、支持接收卡网口备份功能，备份状态下，接收卡网络数据为双向传输，保障显示屏播出正常。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13、支持程序升级断电保护功能，保证产品后续升级的安全性。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14、用户可使用控制软件识别接收卡版本情况，由软件自动推荐升级固件，防止固件错误加载。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15、为保证产品使用安全，产品具备抗电击及能量危险防护特性。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16、具备色彩还原技术，能够针对LED屏显示特性，真实地展现图像原本色彩。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17、支持任意倍频技术，能够有效消除手机拍摄时出现的扫描线。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18、支持3D显示功能，配合3D发送控制器或3D图像处理器可使屏幕具备3D显示效果。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19、为保证显示效果，接收卡的亮度有效率与刷新率、灰度等级相对独立，可单独对亮度有效率进行调节而不引起其他两项参数变化。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20、为保障信号传输稳定性，图像数据由发送端到接收端只有一帧延迟。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21、为保障系统信息安全，本产品核心运算芯片采用高性能国产芯片。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22、具备电源接反保护电路，防范电源反接伤害。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23、支持数据组交换，可修改HUB接口数据组交换，并固化到接收卡中。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24、支持旋转接收卡画面，实现90度、180度、270度、镜像画面显示。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25、支持通过按钮进入测试模板，用于模组显示测试。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26、序列化升级：支持编辑需要升级的接收卡序列，便于多类型接收卡统一升级维护。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27、可提供LED控制系统计算机软件著作权登记证书。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28、可提供控制卡生产厂家针对本项目的售后服务承诺函（加盖厂家鲜章）。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29、控制系统同品牌，与控制系统其他分项无缝兼容，完全满足控制系统性能需求。控制系统（含多画面拼接器、视频控制器、独立主控、同步接收卡）采用同一生产厂家同一品牌产品，严禁贴牌。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30、设备通过CQC认证，并可提供相应证书（加盖厂家鲜章）</w:t>
            </w: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张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red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102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电源</w:t>
            </w:r>
          </w:p>
        </w:tc>
        <w:tc>
          <w:tcPr>
            <w:tcW w:w="692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1.输入电压：176VAC～264VAC，输出电压：4.5V～5V；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2.工作温度：-40℃～70℃，工作湿度：20%RH～90%RH；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3.散热方式：自然对流散热，需紧贴金属机箱外壳散热；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4.耐压：I/P-O/P：3.0KVAC I/P-FG：1.5KVAC O/P-FG：0.5KVAC；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5.所投开关电源符合EN55022, EN55024, FCC PART 15  CLASS B；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6.所投开关电源通过过载保护测试。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.为保证系统的一致性与稳定性，开关电源必须与LED显示屏为同一厂商，以上参数需提供首页具有“CNAS”和“ilac-MRA”标识的第三方权威检测报告；需提供开关电源CCC、CE、ROHS、FCC认证证书复印件加盖LED显示屏生产企业公章加以佐证；使用方有权查验检测报告及资质证书的真实性。</w:t>
            </w: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130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刚结构及包边</w:t>
            </w:r>
          </w:p>
        </w:tc>
        <w:tc>
          <w:tcPr>
            <w:tcW w:w="692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40*80mm/50*100mm;平整度0.05mm;无指纹黑钛不锈钢包边</w:t>
            </w: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red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38.14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电源线及网线</w:t>
            </w:r>
          </w:p>
        </w:tc>
        <w:tc>
          <w:tcPr>
            <w:tcW w:w="692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国标,超五类网线,屏体内电源线,网线等</w:t>
            </w: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6500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建设要求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系统要求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控制系统在满足台口两侧（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），二台字幕屏、会标屏控制的同时，必须满足舞台原有屏幕“一主四副”的一体式控制，即新系统与原有系统融合，同时控制，满足使用需求的同时减少操作负责性。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LED显示屏需具有独立的3C认证。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线路需求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单独布置信号线路到控制室，确保输出信号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0衰减；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所有线路确保规整、隐蔽；使用电源线路，根据实际使用功率，确定开关和电源耗材，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该项目施工过程中产生的未提及事相或者所需耗材物品等，由中标方承担解决；</w:t>
      </w: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支撑结构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支撑大屏的钢结构，根据现场实际情况设计制作，要求美观大方，安全牢固，便于检修更换零配件。所有施工过程，必须确保新装修墙面和地面不受破坏，否则承担所有责任；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三、其它要求</w:t>
      </w:r>
    </w:p>
    <w:p>
      <w:pPr>
        <w:spacing w:beforeLines="100" w:afterLines="100" w:line="579" w:lineRule="exact"/>
        <w:ind w:firstLine="640" w:firstLineChars="20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交货时要求</w:t>
      </w:r>
      <w:r>
        <w:rPr>
          <w:rFonts w:hint="eastAsia" w:ascii="仿宋_GB2312" w:eastAsia="仿宋_GB2312"/>
          <w:spacing w:val="-6"/>
          <w:sz w:val="32"/>
          <w:szCs w:val="32"/>
        </w:rPr>
        <w:t>中标方</w:t>
      </w:r>
      <w:r>
        <w:rPr>
          <w:rFonts w:hint="eastAsia" w:ascii="仿宋" w:hAnsi="仿宋" w:eastAsia="仿宋"/>
          <w:sz w:val="32"/>
          <w:szCs w:val="32"/>
        </w:rPr>
        <w:t>就所投产品提供产品说明书，我方有权核实招标要求的产品功能，有权要求</w:t>
      </w:r>
      <w:r>
        <w:rPr>
          <w:rFonts w:hint="eastAsia" w:ascii="仿宋_GB2312" w:eastAsia="仿宋_GB2312"/>
          <w:spacing w:val="-6"/>
          <w:sz w:val="32"/>
          <w:szCs w:val="32"/>
        </w:rPr>
        <w:t>中标方对产品的合法供货渠道进行说明。经核实，如中标方所提供产品与招、投标文件中的产品功能不一致，或提供非法渠道的商品，即视为欺诈，为维护我方合法权益，中标方要承担商品价值双倍的赔偿；同时，依据现行的国家法律法规追究其他责任，并连带追究所投产品制造商的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8FFE"/>
    <w:multiLevelType w:val="singleLevel"/>
    <w:tmpl w:val="23F98FF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2652C6"/>
    <w:multiLevelType w:val="multilevel"/>
    <w:tmpl w:val="522652C6"/>
    <w:lvl w:ilvl="0" w:tentative="0">
      <w:start w:val="1"/>
      <w:numFmt w:val="decimal"/>
      <w:lvlText w:val="%1."/>
      <w:lvlJc w:val="left"/>
      <w:pPr>
        <w:ind w:left="315" w:hanging="315"/>
      </w:pPr>
      <w:rPr>
        <w:rFonts w:hint="default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343"/>
    <w:rsid w:val="00822D8E"/>
    <w:rsid w:val="008B6343"/>
    <w:rsid w:val="01425483"/>
    <w:rsid w:val="142626EB"/>
    <w:rsid w:val="3EAE222C"/>
    <w:rsid w:val="418F4902"/>
    <w:rsid w:val="4DD40C51"/>
    <w:rsid w:val="516B577D"/>
    <w:rsid w:val="5BF9210C"/>
    <w:rsid w:val="792C1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1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10">
    <w:name w:val="List Paragraph"/>
    <w:basedOn w:val="1"/>
    <w:qFormat/>
    <w:uiPriority w:val="34"/>
    <w:pPr>
      <w:widowControl/>
      <w:spacing w:line="240" w:lineRule="atLeast"/>
      <w:ind w:firstLine="420" w:firstLineChars="200"/>
    </w:pPr>
    <w:rPr>
      <w:rFonts w:ascii="Arial" w:hAnsi="Arial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360</Words>
  <Characters>2052</Characters>
  <Lines>17</Lines>
  <Paragraphs>4</Paragraphs>
  <TotalTime>2</TotalTime>
  <ScaleCrop>false</ScaleCrop>
  <LinksUpToDate>false</LinksUpToDate>
  <CharactersWithSpaces>2408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2023-04-26T09:09:00Z</dcterms:created>
  <dc:creator>cgb</dc:creator>
  <cp:lastModifiedBy>Administrator</cp:lastModifiedBy>
  <cp:lastPrinted>2023-10-12T02:15:20Z</cp:lastPrinted>
  <dcterms:modified xsi:type="dcterms:W3CDTF">2023-10-12T02:16:10Z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