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b/>
          <w:bCs/>
          <w:sz w:val="44"/>
          <w:szCs w:val="44"/>
          <w:lang w:eastAsia="zh-CN"/>
        </w:rPr>
        <w:t>超声药物导入治疗系统</w:t>
      </w:r>
      <w:r>
        <w:rPr>
          <w:rFonts w:hint="eastAsia"/>
          <w:b/>
          <w:bCs/>
          <w:sz w:val="44"/>
          <w:szCs w:val="44"/>
        </w:rPr>
        <w:t>可行性论证报告</w:t>
      </w:r>
    </w:p>
    <w:p>
      <w:pPr>
        <w:numPr>
          <w:ilvl w:val="0"/>
          <w:numId w:val="1"/>
        </w:numPr>
        <w:spacing w:line="360" w:lineRule="auto"/>
        <w:jc w:val="left"/>
        <w:rPr>
          <w:rFonts w:hint="eastAsia"/>
          <w:sz w:val="28"/>
          <w:szCs w:val="28"/>
        </w:rPr>
      </w:pPr>
      <w:r>
        <w:rPr>
          <w:rFonts w:hint="eastAsia" w:ascii="仿宋_GB2312" w:hAnsi="宋体" w:eastAsia="仿宋_GB2312"/>
          <w:b/>
          <w:sz w:val="28"/>
          <w:szCs w:val="28"/>
        </w:rPr>
        <w:t>设备介绍：</w:t>
      </w:r>
    </w:p>
    <w:p>
      <w:pPr>
        <w:rPr>
          <w:rFonts w:hint="eastAsia"/>
          <w:sz w:val="24"/>
        </w:rPr>
      </w:pPr>
      <w:r>
        <w:rPr>
          <w:rFonts w:hint="eastAsia"/>
          <w:sz w:val="24"/>
        </w:rPr>
        <w:t xml:space="preserve">          由于近年来环境的污染以及人民生活压力的变大，越来越多的人开始关注自身的健康和国家对传统中医的政策利好，全国很多医院都在引进和建立医院中医特色科室和中医康复科的建设。</w:t>
      </w:r>
    </w:p>
    <w:p>
      <w:pPr>
        <w:rPr>
          <w:rFonts w:hint="eastAsia"/>
          <w:sz w:val="24"/>
        </w:rPr>
      </w:pPr>
      <w:r>
        <w:rPr>
          <w:rFonts w:hint="eastAsia"/>
          <w:sz w:val="24"/>
        </w:rPr>
        <w:t xml:space="preserve">      （一）定向透药治疗仪采用传统中医理论，配合现代先进电子技术，可以增强患者对治疗效果的期望，同时也能增强医院的竞争力；</w:t>
      </w:r>
    </w:p>
    <w:p>
      <w:pPr>
        <w:rPr>
          <w:rFonts w:hint="eastAsia"/>
          <w:sz w:val="24"/>
        </w:rPr>
      </w:pPr>
      <w:r>
        <w:rPr>
          <w:rFonts w:hint="eastAsia"/>
          <w:sz w:val="24"/>
        </w:rPr>
        <w:t xml:space="preserve">      （二）提高我院及科室的档次和地位，树立良好的社会形象；</w:t>
      </w:r>
    </w:p>
    <w:p>
      <w:pPr>
        <w:rPr>
          <w:rFonts w:hint="eastAsia"/>
          <w:sz w:val="24"/>
        </w:rPr>
      </w:pPr>
      <w:r>
        <w:rPr>
          <w:rFonts w:hint="eastAsia"/>
          <w:sz w:val="24"/>
        </w:rPr>
        <w:t xml:space="preserve">      （三）本款仪器采用多路输出，可以再短时间内治疗多位病人，可以大大增加医院的收入。</w:t>
      </w:r>
    </w:p>
    <w:p>
      <w:pPr>
        <w:numPr>
          <w:ilvl w:val="0"/>
          <w:numId w:val="2"/>
        </w:numPr>
        <w:spacing w:line="360" w:lineRule="auto"/>
        <w:ind w:leftChars="0"/>
        <w:jc w:val="left"/>
        <w:rPr>
          <w:rFonts w:hint="eastAsia"/>
          <w:sz w:val="28"/>
          <w:szCs w:val="28"/>
        </w:rPr>
      </w:pPr>
      <w:r>
        <w:rPr>
          <w:rFonts w:hint="eastAsia" w:ascii="仿宋_GB2312" w:hAnsi="宋体" w:eastAsia="仿宋_GB2312"/>
          <w:b/>
          <w:sz w:val="28"/>
          <w:szCs w:val="28"/>
        </w:rPr>
        <w:t>必要性：</w:t>
      </w:r>
    </w:p>
    <w:p>
      <w:pPr>
        <w:ind w:firstLine="480" w:firstLineChars="200"/>
        <w:rPr>
          <w:rFonts w:hint="eastAsia"/>
          <w:sz w:val="24"/>
        </w:rPr>
      </w:pPr>
      <w:r>
        <w:rPr>
          <w:rFonts w:hint="eastAsia"/>
          <w:sz w:val="24"/>
          <w:lang w:val="en-US" w:eastAsia="zh-CN"/>
        </w:rPr>
        <w:t>1、</w:t>
      </w:r>
      <w:r>
        <w:rPr>
          <w:rFonts w:hint="eastAsia"/>
          <w:sz w:val="24"/>
        </w:rPr>
        <w:t>由于人体病变由多种因素引发产生，本治疗仪根据人体经络学原理，采用“多功能综合治疗”的方法——针疗及按摩、远红外热疗、靶向药离子导入等综合治疗方式，使人体经络内外气血畅通、阴阳协调、表里合一、濡养全身，达到治疗疾患于无形，对数十种疾病的治疗起到令人难以置信的疗效。</w:t>
      </w:r>
    </w:p>
    <w:p>
      <w:pPr>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通过热疗和促进剂（水化剂、角质层剥离剂）的应用对皮肤进行预处理，增加皮肤的通透性；通过脉冲电流使α—螺旋结构的多肽发生翻转形成平行排列，由无序性变为有序性，产生允许生物大分子药物通过的生物通道。人为造成药物通过的直接通道，使药物顺利通过。通过离子导入的电泳作用和电趋向性，使药物离子充分水化，以利于离子的透皮转运。通过以上方法达的协同作用可以促进药物向体内的有效转运。并结合中医经络理论，通过对相应穴位的刺激达到疏通经络、行气活血、扶正祛邪以达到提高人体免疫力的功效。</w:t>
      </w:r>
    </w:p>
    <w:p>
      <w:pPr>
        <w:ind w:firstLine="420" w:firstLineChars="200"/>
        <w:rPr>
          <w:rFonts w:hint="eastAsia"/>
        </w:rPr>
      </w:pPr>
      <w:r>
        <w:rPr>
          <w:rFonts w:hint="eastAsia"/>
          <w:lang w:val="en-US" w:eastAsia="zh-CN"/>
        </w:rPr>
        <w:t>3、</w:t>
      </w:r>
      <w:r>
        <w:rPr>
          <w:rFonts w:hint="eastAsia"/>
        </w:rPr>
        <w:t>热疗功能：热疗带或皮肤发热电极里有红外线发热功能，在使用时，温度保持在40℃——60℃之间。通过红外线和针灸作用，促进血液循环、血流加速，体内毒素渗出，达到驱寒祛湿，散瘀活血止痛之功效，促进致痛物质的分解和转化，有明显的止痛作用。</w:t>
      </w:r>
    </w:p>
    <w:p>
      <w:pPr>
        <w:rPr>
          <w:rFonts w:hint="eastAsia"/>
        </w:rPr>
      </w:pPr>
      <w:r>
        <w:rPr>
          <w:rFonts w:hint="eastAsia"/>
        </w:rPr>
        <w:t xml:space="preserve">    </w:t>
      </w:r>
      <w:r>
        <w:rPr>
          <w:rFonts w:hint="eastAsia"/>
          <w:lang w:val="en-US" w:eastAsia="zh-CN"/>
        </w:rPr>
        <w:t>4、</w:t>
      </w:r>
      <w:r>
        <w:rPr>
          <w:rFonts w:hint="eastAsia"/>
        </w:rPr>
        <w:t>药物导入：热疗带或皮肤发热电极片上加上对病症有针对性治疗的药水，贴敷在病灶部位，通电治疗，有药物导入功能。具有明显降低人体阻抗，在强脉冲频率，电场效应的作用下，把中药药液分解成药离子，再通过仪器的独有功能：无针针灸、红外线和热疗等作用，增强了生物膜的渗透性，将大剂量的药离子渗透到人体较深的病灶部位，有效的促进血流循环，有即刻止痛的功效。</w:t>
      </w:r>
    </w:p>
    <w:p>
      <w:pPr>
        <w:rPr>
          <w:rFonts w:hint="eastAsia"/>
          <w:sz w:val="28"/>
          <w:szCs w:val="28"/>
        </w:rPr>
      </w:pPr>
      <w:r>
        <w:rPr>
          <w:rFonts w:hint="eastAsia"/>
          <w:sz w:val="28"/>
          <w:szCs w:val="28"/>
          <w:lang w:eastAsia="zh-CN"/>
        </w:rPr>
        <w:t>三、</w:t>
      </w:r>
      <w:r>
        <w:rPr>
          <w:rFonts w:hint="eastAsia"/>
          <w:sz w:val="28"/>
          <w:szCs w:val="28"/>
        </w:rPr>
        <w:t xml:space="preserve">作用特点 </w:t>
      </w:r>
    </w:p>
    <w:p>
      <w:pPr>
        <w:rPr>
          <w:rFonts w:hint="eastAsia"/>
        </w:rPr>
      </w:pPr>
      <w:r>
        <w:rPr>
          <w:rFonts w:hint="eastAsia"/>
        </w:rPr>
        <w:t xml:space="preserve">　1、避免了传统给药和注射给药的危险、痛苦与不便。 </w:t>
      </w:r>
    </w:p>
    <w:p>
      <w:pPr>
        <w:rPr>
          <w:rFonts w:hint="eastAsia"/>
        </w:rPr>
      </w:pPr>
      <w:r>
        <w:rPr>
          <w:rFonts w:hint="eastAsia"/>
        </w:rPr>
        <w:t xml:space="preserve">　2、作用持久，使药物在病变局部形成药物高浓区。 </w:t>
      </w:r>
    </w:p>
    <w:p>
      <w:pPr>
        <w:rPr>
          <w:rFonts w:hint="eastAsia"/>
        </w:rPr>
      </w:pPr>
      <w:r>
        <w:rPr>
          <w:rFonts w:hint="eastAsia"/>
        </w:rPr>
        <w:t xml:space="preserve">　3、无血药浓度峰谷现象，避免全身毒副作用。 </w:t>
      </w:r>
    </w:p>
    <w:p>
      <w:pPr>
        <w:rPr>
          <w:rFonts w:hint="eastAsia"/>
        </w:rPr>
      </w:pPr>
      <w:r>
        <w:rPr>
          <w:rFonts w:hint="eastAsia"/>
        </w:rPr>
        <w:t xml:space="preserve">　4、避免了肝脏的首过效应，胃肠道因素的干扰与降解作用，减少个体差异。 </w:t>
      </w:r>
    </w:p>
    <w:p>
      <w:pPr>
        <w:rPr>
          <w:rFonts w:hint="eastAsia"/>
        </w:rPr>
      </w:pPr>
      <w:r>
        <w:rPr>
          <w:rFonts w:hint="eastAsia"/>
        </w:rPr>
        <w:t>　5、透药速度快，提高药物生物利用度，减少总用药量，提高药效</w:t>
      </w:r>
    </w:p>
    <w:p>
      <w:pPr>
        <w:rPr>
          <w:rFonts w:hint="eastAsia"/>
        </w:rPr>
      </w:pPr>
      <w:r>
        <w:rPr>
          <w:rFonts w:hint="eastAsia"/>
        </w:rPr>
        <w:t>　6、无痛、无创、安全、方便。</w:t>
      </w:r>
    </w:p>
    <w:p>
      <w:pPr>
        <w:rPr>
          <w:rFonts w:hint="eastAsia"/>
          <w:sz w:val="28"/>
          <w:szCs w:val="28"/>
        </w:rPr>
      </w:pPr>
      <w:r>
        <w:rPr>
          <w:rFonts w:hint="eastAsia"/>
          <w:sz w:val="28"/>
          <w:szCs w:val="28"/>
        </w:rPr>
        <w:t xml:space="preserve"> </w:t>
      </w:r>
      <w:r>
        <w:rPr>
          <w:rFonts w:hint="eastAsia"/>
          <w:sz w:val="28"/>
          <w:szCs w:val="28"/>
          <w:lang w:eastAsia="zh-CN"/>
        </w:rPr>
        <w:t>四、</w:t>
      </w:r>
      <w:r>
        <w:rPr>
          <w:rFonts w:hint="eastAsia"/>
          <w:sz w:val="28"/>
          <w:szCs w:val="28"/>
        </w:rPr>
        <w:t>经济效益分析</w:t>
      </w:r>
    </w:p>
    <w:p>
      <w:pPr>
        <w:rPr>
          <w:rFonts w:hint="eastAsia"/>
        </w:rPr>
      </w:pPr>
      <w:r>
        <w:rPr>
          <w:rFonts w:hint="eastAsia"/>
        </w:rPr>
        <w:t>甘肃省收费标准：按三个疗法收费中医定向透药治疗 420000013中频脉冲电治疗340100010、贴敷疗法410000001）。</w:t>
      </w:r>
    </w:p>
    <w:p>
      <w:pPr>
        <w:rPr>
          <w:rFonts w:hint="eastAsia"/>
        </w:rPr>
      </w:pPr>
      <w:r>
        <w:rPr>
          <w:rFonts w:hint="eastAsia"/>
        </w:rPr>
        <w:t xml:space="preserve"> </w:t>
      </w:r>
    </w:p>
    <w:p>
      <w:pPr>
        <w:rPr>
          <w:rFonts w:hint="eastAsia"/>
        </w:rPr>
      </w:pPr>
      <w:r>
        <w:rPr>
          <w:rFonts w:hint="eastAsia"/>
        </w:rPr>
        <w:t xml:space="preserve">中医定向透药疗法  420000013  </w:t>
      </w:r>
      <w:r>
        <w:rPr>
          <w:rFonts w:hint="eastAsia"/>
          <w:lang w:val="en-US" w:eastAsia="zh-CN"/>
        </w:rPr>
        <w:t>35</w:t>
      </w:r>
      <w:r>
        <w:rPr>
          <w:rFonts w:hint="eastAsia"/>
        </w:rPr>
        <w:t>元/部位</w:t>
      </w:r>
    </w:p>
    <w:p>
      <w:pPr>
        <w:rPr>
          <w:rFonts w:hint="eastAsia"/>
        </w:rPr>
      </w:pPr>
      <w:r>
        <w:rPr>
          <w:rFonts w:hint="eastAsia"/>
        </w:rPr>
        <w:t>中频脉冲电治疗    340100010  10元/部位</w:t>
      </w:r>
    </w:p>
    <w:p>
      <w:pPr>
        <w:rPr>
          <w:rFonts w:hint="eastAsia"/>
        </w:rPr>
      </w:pPr>
      <w:r>
        <w:rPr>
          <w:rFonts w:hint="eastAsia"/>
        </w:rPr>
        <w:t>贴敷疗法（含药物使用）410000001  9元/部位</w:t>
      </w:r>
    </w:p>
    <w:p>
      <w:pPr>
        <w:rPr>
          <w:rFonts w:hint="eastAsia"/>
        </w:rPr>
      </w:pPr>
      <w:r>
        <w:rPr>
          <w:rFonts w:hint="eastAsia"/>
        </w:rPr>
        <w:t>中医定向透药疗法=</w:t>
      </w:r>
      <w:r>
        <w:rPr>
          <w:rFonts w:hint="eastAsia"/>
          <w:lang w:val="en-US" w:eastAsia="zh-CN"/>
        </w:rPr>
        <w:t>70</w:t>
      </w:r>
      <w:r>
        <w:rPr>
          <w:rFonts w:hint="eastAsia"/>
        </w:rPr>
        <w:t>元/次（治疗一次是两个穴位）</w:t>
      </w:r>
    </w:p>
    <w:p>
      <w:pPr>
        <w:rPr>
          <w:rFonts w:hint="eastAsia"/>
        </w:rPr>
      </w:pPr>
      <w:r>
        <w:rPr>
          <w:rFonts w:hint="eastAsia"/>
        </w:rPr>
        <w:t>案例：以兰州市第二人民医院胃肠科治疗为例。</w:t>
      </w:r>
    </w:p>
    <w:p>
      <w:pPr>
        <w:rPr>
          <w:rFonts w:hint="eastAsia"/>
        </w:rPr>
      </w:pPr>
      <w:r>
        <w:rPr>
          <w:rFonts w:hint="eastAsia"/>
        </w:rPr>
        <w:t>每天最少有50位患者，一年365天按350天计算。</w:t>
      </w:r>
    </w:p>
    <w:p>
      <w:pPr>
        <w:rPr>
          <w:rFonts w:hint="eastAsia"/>
        </w:rPr>
      </w:pPr>
      <w:r>
        <w:rPr>
          <w:rFonts w:hint="eastAsia"/>
        </w:rPr>
        <w:t>收费：根据甘肃省收费标准为例，每次</w:t>
      </w:r>
      <w:r>
        <w:rPr>
          <w:rFonts w:hint="eastAsia"/>
          <w:lang w:val="en-US" w:eastAsia="zh-CN"/>
        </w:rPr>
        <w:t>70</w:t>
      </w:r>
      <w:r>
        <w:rPr>
          <w:rFonts w:hint="eastAsia"/>
        </w:rPr>
        <w:t>元。</w:t>
      </w:r>
    </w:p>
    <w:p>
      <w:pPr>
        <w:rPr>
          <w:rFonts w:hint="eastAsia"/>
        </w:rPr>
      </w:pPr>
      <w:r>
        <w:rPr>
          <w:rFonts w:hint="eastAsia"/>
        </w:rPr>
        <w:t>效益：50人/天</w:t>
      </w:r>
      <w:r>
        <w:t>×</w:t>
      </w:r>
      <w:r>
        <w:rPr>
          <w:rFonts w:hint="eastAsia"/>
        </w:rPr>
        <w:t>350天</w:t>
      </w:r>
      <w:r>
        <w:t>×</w:t>
      </w:r>
      <w:r>
        <w:rPr>
          <w:rFonts w:hint="eastAsia"/>
        </w:rPr>
        <w:t>86元/人=</w:t>
      </w:r>
      <w:r>
        <w:rPr>
          <w:rFonts w:hint="eastAsia"/>
          <w:lang w:val="en-US" w:eastAsia="zh-CN"/>
        </w:rPr>
        <w:t>12250</w:t>
      </w:r>
      <w:r>
        <w:rPr>
          <w:rFonts w:hint="eastAsia"/>
        </w:rPr>
        <w:t>00元.</w:t>
      </w:r>
    </w:p>
    <w:p>
      <w:pPr>
        <w:rPr>
          <w:rFonts w:hint="eastAsia"/>
        </w:rPr>
      </w:pPr>
      <w:r>
        <w:rPr>
          <w:rFonts w:hint="eastAsia"/>
        </w:rPr>
        <w:t>一台仪器最少使用五年，则五年的总收入是</w:t>
      </w:r>
      <w:r>
        <w:rPr>
          <w:rFonts w:hint="eastAsia"/>
          <w:lang w:val="en-US" w:eastAsia="zh-CN"/>
        </w:rPr>
        <w:t>12250</w:t>
      </w:r>
      <w:r>
        <w:rPr>
          <w:rFonts w:hint="eastAsia"/>
        </w:rPr>
        <w:t>00万/年</w:t>
      </w:r>
      <w:r>
        <w:t>×</w:t>
      </w:r>
      <w:r>
        <w:rPr>
          <w:rFonts w:hint="eastAsia"/>
        </w:rPr>
        <w:t>5年=</w:t>
      </w:r>
      <w:r>
        <w:rPr>
          <w:rFonts w:hint="eastAsia"/>
          <w:lang w:val="en-US" w:eastAsia="zh-CN"/>
        </w:rPr>
        <w:t>6125</w:t>
      </w:r>
      <w:r>
        <w:rPr>
          <w:rFonts w:hint="eastAsia"/>
        </w:rPr>
        <w:t>000万。</w:t>
      </w:r>
    </w:p>
    <w:p>
      <w:pPr>
        <w:rPr>
          <w:rFonts w:hint="eastAsia" w:ascii="仿宋_GB2312" w:hAnsi="宋体" w:eastAsia="仿宋_GB2312"/>
          <w:b/>
          <w:sz w:val="28"/>
          <w:szCs w:val="28"/>
        </w:rPr>
      </w:pPr>
      <w:r>
        <w:rPr>
          <w:rFonts w:hint="eastAsia"/>
        </w:rPr>
        <w:t xml:space="preserve">       </w:t>
      </w:r>
      <w:r>
        <w:rPr>
          <w:rFonts w:hint="eastAsia" w:ascii="仿宋" w:hAnsi="仿宋" w:eastAsia="仿宋" w:cs="仿宋"/>
          <w:sz w:val="24"/>
          <w:szCs w:val="24"/>
          <w:lang w:val="en-US" w:eastAsia="zh-CN"/>
        </w:rPr>
        <w:t xml:space="preserve">                             </w:t>
      </w:r>
      <w:r>
        <w:rPr>
          <w:rFonts w:hint="eastAsia" w:ascii="仿宋_GB2312" w:hAnsi="宋体" w:eastAsia="仿宋_GB2312"/>
          <w:b/>
          <w:sz w:val="28"/>
          <w:szCs w:val="28"/>
        </w:rPr>
        <w:t xml:space="preserve">支部书记、支委成员（签字）：  </w:t>
      </w:r>
    </w:p>
    <w:p>
      <w:pPr>
        <w:ind w:firstLine="4216" w:firstLineChars="1500"/>
        <w:rPr>
          <w:rFonts w:hint="eastAsia" w:ascii="仿宋_GB2312" w:hAnsi="宋体" w:eastAsia="仿宋_GB2312"/>
          <w:b/>
          <w:sz w:val="28"/>
          <w:szCs w:val="28"/>
        </w:rPr>
      </w:pPr>
      <w:r>
        <w:rPr>
          <w:rFonts w:hint="eastAsia" w:ascii="仿宋_GB2312" w:hAnsi="宋体" w:eastAsia="仿宋_GB2312"/>
          <w:b/>
          <w:sz w:val="28"/>
          <w:szCs w:val="28"/>
          <w:lang w:val="en-US" w:eastAsia="zh-CN"/>
        </w:rPr>
        <w:t>骨科</w:t>
      </w:r>
      <w:bookmarkStart w:id="0" w:name="_GoBack"/>
      <w:bookmarkEnd w:id="0"/>
      <w:r>
        <w:rPr>
          <w:rFonts w:hint="eastAsia" w:ascii="仿宋_GB2312" w:hAnsi="宋体" w:eastAsia="仿宋_GB2312"/>
          <w:b/>
          <w:sz w:val="28"/>
          <w:szCs w:val="28"/>
        </w:rPr>
        <w:t>（安宁医疗区）</w:t>
      </w:r>
    </w:p>
    <w:p>
      <w:pPr>
        <w:spacing w:after="156" w:afterLines="50" w:line="580" w:lineRule="exact"/>
        <w:ind w:firstLine="4216" w:firstLineChars="1500"/>
        <w:rPr>
          <w:rFonts w:hint="eastAsia" w:ascii="仿宋_GB2312" w:hAnsi="宋体" w:eastAsia="仿宋_GB2312"/>
          <w:b/>
          <w:szCs w:val="21"/>
        </w:rPr>
      </w:pPr>
      <w:r>
        <w:rPr>
          <w:rFonts w:hint="eastAsia" w:ascii="仿宋_GB2312" w:hAnsi="宋体" w:eastAsia="仿宋_GB2312"/>
          <w:b/>
          <w:sz w:val="28"/>
          <w:szCs w:val="28"/>
        </w:rPr>
        <w:t>202</w:t>
      </w:r>
      <w:r>
        <w:rPr>
          <w:rFonts w:hint="eastAsia" w:ascii="仿宋_GB2312" w:hAnsi="宋体" w:eastAsia="仿宋_GB2312"/>
          <w:b/>
          <w:sz w:val="28"/>
          <w:szCs w:val="28"/>
          <w:lang w:val="en-US" w:eastAsia="zh-CN"/>
        </w:rPr>
        <w:t>3</w:t>
      </w:r>
      <w:r>
        <w:rPr>
          <w:rFonts w:hint="eastAsia" w:ascii="仿宋_GB2312" w:hAnsi="宋体" w:eastAsia="仿宋_GB2312"/>
          <w:b/>
          <w:sz w:val="28"/>
          <w:szCs w:val="28"/>
        </w:rPr>
        <w:t>年</w:t>
      </w:r>
      <w:r>
        <w:rPr>
          <w:rFonts w:hint="eastAsia" w:ascii="仿宋_GB2312" w:hAnsi="宋体" w:eastAsia="仿宋_GB2312"/>
          <w:b/>
          <w:sz w:val="28"/>
          <w:szCs w:val="28"/>
          <w:lang w:val="en-US" w:eastAsia="zh-CN"/>
        </w:rPr>
        <w:t>9</w:t>
      </w:r>
      <w:r>
        <w:rPr>
          <w:rFonts w:hint="eastAsia" w:ascii="仿宋_GB2312" w:hAnsi="宋体" w:eastAsia="仿宋_GB2312"/>
          <w:b/>
          <w:sz w:val="28"/>
          <w:szCs w:val="28"/>
        </w:rPr>
        <w:t>月</w:t>
      </w:r>
      <w:r>
        <w:rPr>
          <w:rFonts w:hint="eastAsia" w:ascii="仿宋_GB2312" w:hAnsi="宋体" w:eastAsia="仿宋_GB2312"/>
          <w:b/>
          <w:sz w:val="28"/>
          <w:szCs w:val="28"/>
          <w:lang w:val="en-US" w:eastAsia="zh-CN"/>
        </w:rPr>
        <w:t>25</w:t>
      </w:r>
      <w:r>
        <w:rPr>
          <w:rFonts w:hint="eastAsia" w:ascii="仿宋_GB2312" w:hAnsi="宋体" w:eastAsia="仿宋_GB2312"/>
          <w:b/>
          <w:sz w:val="28"/>
          <w:szCs w:val="28"/>
        </w:rPr>
        <w:t>日</w:t>
      </w:r>
    </w:p>
    <w:p>
      <w:pPr>
        <w:numPr>
          <w:ilvl w:val="0"/>
          <w:numId w:val="0"/>
        </w:numPr>
        <w:rPr>
          <w:rFonts w:hint="default"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4D1F2F"/>
    <w:multiLevelType w:val="singleLevel"/>
    <w:tmpl w:val="634D1F2F"/>
    <w:lvl w:ilvl="0" w:tentative="0">
      <w:start w:val="2"/>
      <w:numFmt w:val="chineseCounting"/>
      <w:suff w:val="nothing"/>
      <w:lvlText w:val="%1、"/>
      <w:lvlJc w:val="left"/>
    </w:lvl>
  </w:abstractNum>
  <w:abstractNum w:abstractNumId="1">
    <w:nsid w:val="7B023CD9"/>
    <w:multiLevelType w:val="multilevel"/>
    <w:tmpl w:val="7B023CD9"/>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jZjg1MjE5ZGRmMGY1OTIzMjkwNmMyZDA0ZWI4MDkifQ=="/>
  </w:docVars>
  <w:rsids>
    <w:rsidRoot w:val="72C54FA8"/>
    <w:rsid w:val="0D9D18A7"/>
    <w:rsid w:val="0E9D616F"/>
    <w:rsid w:val="19035D0B"/>
    <w:rsid w:val="1C7D6D13"/>
    <w:rsid w:val="25350AA1"/>
    <w:rsid w:val="29EB440A"/>
    <w:rsid w:val="31024D9E"/>
    <w:rsid w:val="34E57164"/>
    <w:rsid w:val="36D33C1E"/>
    <w:rsid w:val="3A816CD4"/>
    <w:rsid w:val="3DF60D0D"/>
    <w:rsid w:val="4DA26474"/>
    <w:rsid w:val="50DE4674"/>
    <w:rsid w:val="59414393"/>
    <w:rsid w:val="59950A8D"/>
    <w:rsid w:val="5D9E4275"/>
    <w:rsid w:val="672C0265"/>
    <w:rsid w:val="67D5211A"/>
    <w:rsid w:val="6800386E"/>
    <w:rsid w:val="6AAE08C1"/>
    <w:rsid w:val="6AC50D3B"/>
    <w:rsid w:val="6B6932A5"/>
    <w:rsid w:val="6E2654F6"/>
    <w:rsid w:val="6F2474E4"/>
    <w:rsid w:val="72C54FA8"/>
    <w:rsid w:val="74AF0877"/>
    <w:rsid w:val="76302F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style>
  <w:style w:type="character" w:customStyle="1" w:styleId="8">
    <w:name w:val="NormalCharacter"/>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1285</Words>
  <Characters>1377</Characters>
  <Lines>0</Lines>
  <Paragraphs>0</Paragraphs>
  <TotalTime>2</TotalTime>
  <ScaleCrop>false</ScaleCrop>
  <LinksUpToDate>false</LinksUpToDate>
  <CharactersWithSpaces>1473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2017-06-01T10:51:00Z</dcterms:created>
  <dc:creator>Administrator</dc:creator>
  <cp:lastModifiedBy>Administrator</cp:lastModifiedBy>
  <dcterms:modified xsi:type="dcterms:W3CDTF">2023-09-25T07:34:27Z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375A4B5915354B9A933BDF7BAE6ACB0F</vt:lpwstr>
  </property>
</Properties>
</file>