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35" w:rsidRPr="00B51235" w:rsidRDefault="00B51235" w:rsidP="00B51235">
      <w:pPr>
        <w:snapToGrid w:val="0"/>
        <w:spacing w:line="560" w:lineRule="exact"/>
        <w:ind w:firstLineChars="200" w:firstLine="640"/>
        <w:jc w:val="left"/>
        <w:rPr>
          <w:rFonts w:ascii="黑体" w:eastAsia="黑体" w:hAnsi="黑体"/>
          <w:szCs w:val="32"/>
        </w:rPr>
      </w:pPr>
      <w:r w:rsidRPr="00B51235">
        <w:rPr>
          <w:rFonts w:ascii="黑体" w:eastAsia="黑体" w:hAnsi="黑体" w:hint="eastAsia"/>
          <w:szCs w:val="32"/>
        </w:rPr>
        <w:t>附件2</w:t>
      </w:r>
    </w:p>
    <w:p w:rsidR="00BD6471" w:rsidRDefault="00BD6471" w:rsidP="00BD6471">
      <w:pPr>
        <w:jc w:val="center"/>
        <w:rPr>
          <w:rFonts w:ascii="方正小标宋简体" w:eastAsia="方正小标宋简体"/>
          <w:sz w:val="44"/>
          <w:szCs w:val="44"/>
        </w:rPr>
      </w:pPr>
      <w:r w:rsidRPr="00F73C2C">
        <w:rPr>
          <w:rFonts w:ascii="方正小标宋简体" w:eastAsia="方正小标宋简体" w:hint="eastAsia"/>
          <w:sz w:val="44"/>
          <w:szCs w:val="44"/>
        </w:rPr>
        <w:t>项目要求</w:t>
      </w:r>
    </w:p>
    <w:p w:rsidR="00BD6471" w:rsidRPr="00EB5212"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为更好的保障法律服务质量，保障医疗质量安全及医院各项合法权益，通过以下</w:t>
      </w:r>
      <w:r>
        <w:rPr>
          <w:rFonts w:ascii="仿宋_GB2312" w:hAnsi="仿宋" w:hint="eastAsia"/>
          <w:szCs w:val="32"/>
        </w:rPr>
        <w:t>四个</w:t>
      </w:r>
      <w:r w:rsidRPr="00EB5212">
        <w:rPr>
          <w:rFonts w:ascii="仿宋_GB2312" w:hAnsi="仿宋" w:hint="eastAsia"/>
          <w:szCs w:val="32"/>
        </w:rPr>
        <w:t>模块</w:t>
      </w:r>
      <w:r w:rsidRPr="00E16D8B">
        <w:rPr>
          <w:rFonts w:ascii="楷体_GB2312" w:eastAsia="楷体_GB2312" w:hAnsi="仿宋" w:hint="eastAsia"/>
          <w:sz w:val="28"/>
          <w:szCs w:val="32"/>
        </w:rPr>
        <w:t>（包括但不限于）</w:t>
      </w:r>
      <w:r w:rsidRPr="00EB5212">
        <w:rPr>
          <w:rFonts w:ascii="仿宋_GB2312" w:hAnsi="仿宋" w:hint="eastAsia"/>
          <w:szCs w:val="32"/>
        </w:rPr>
        <w:t>提供年度法律服务</w:t>
      </w:r>
      <w:r w:rsidRPr="006A5C27">
        <w:rPr>
          <w:rFonts w:ascii="楷体_GB2312" w:eastAsia="楷体_GB2312" w:hAnsi="仿宋" w:hint="eastAsia"/>
          <w:sz w:val="28"/>
          <w:szCs w:val="32"/>
        </w:rPr>
        <w:t>（执业律师团队不少于10人，律师团队成员不得自行更换）</w:t>
      </w:r>
      <w:r w:rsidRPr="00E16D8B">
        <w:rPr>
          <w:rFonts w:ascii="仿宋_GB2312" w:hAnsi="仿宋" w:hint="eastAsia"/>
          <w:szCs w:val="32"/>
        </w:rPr>
        <w:t>：</w:t>
      </w:r>
    </w:p>
    <w:p w:rsidR="00BD6471" w:rsidRPr="0027137A" w:rsidRDefault="00BD6471" w:rsidP="00BD6471">
      <w:pPr>
        <w:spacing w:line="579" w:lineRule="exact"/>
        <w:ind w:firstLineChars="200" w:firstLine="640"/>
        <w:rPr>
          <w:rFonts w:ascii="仿宋_GB2312" w:hAnsi="仿宋"/>
          <w:szCs w:val="32"/>
        </w:rPr>
      </w:pPr>
      <w:r>
        <w:rPr>
          <w:rFonts w:ascii="楷体_GB2312" w:eastAsia="楷体_GB2312" w:hAnsi="仿宋" w:hint="eastAsia"/>
          <w:szCs w:val="32"/>
        </w:rPr>
        <w:t>一、</w:t>
      </w:r>
      <w:r w:rsidRPr="0027137A">
        <w:rPr>
          <w:rFonts w:ascii="楷体_GB2312" w:eastAsia="楷体_GB2312" w:hAnsi="仿宋" w:hint="eastAsia"/>
          <w:szCs w:val="32"/>
        </w:rPr>
        <w:t>医疗保障</w:t>
      </w:r>
    </w:p>
    <w:p w:rsidR="00BD6471" w:rsidRPr="00EB5212"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医疗纠纷的处理：包括年度全院</w:t>
      </w:r>
      <w:proofErr w:type="gramStart"/>
      <w:r w:rsidRPr="00EB5212">
        <w:rPr>
          <w:rFonts w:ascii="仿宋_GB2312" w:hAnsi="仿宋" w:hint="eastAsia"/>
          <w:szCs w:val="32"/>
        </w:rPr>
        <w:t>医</w:t>
      </w:r>
      <w:proofErr w:type="gramEnd"/>
      <w:r w:rsidRPr="00EB5212">
        <w:rPr>
          <w:rFonts w:ascii="仿宋_GB2312" w:hAnsi="仿宋" w:hint="eastAsia"/>
          <w:szCs w:val="32"/>
        </w:rPr>
        <w:t>患纠纷调解，法院诉讼包干。每年不少于2次的专项医疗法律风险防控知识培训，通过法律法规解读、医院案例评析，全国典型案例剖析等形式，不断提高和持续改进医院法律服务水平，增强相关部门工作人员应对和处理医疗纠纷及法律问题的能力。提供及时高效的临床医疗法律咨询指导服务</w:t>
      </w:r>
      <w:r>
        <w:rPr>
          <w:rFonts w:ascii="仿宋_GB2312" w:hAnsi="仿宋" w:hint="eastAsia"/>
          <w:szCs w:val="32"/>
        </w:rPr>
        <w:t>、</w:t>
      </w:r>
      <w:r w:rsidRPr="00EB5212">
        <w:rPr>
          <w:rFonts w:ascii="仿宋_GB2312" w:hAnsi="仿宋" w:hint="eastAsia"/>
          <w:szCs w:val="32"/>
        </w:rPr>
        <w:t>提供电话24小时免费咨询业务</w:t>
      </w:r>
      <w:r>
        <w:rPr>
          <w:rFonts w:ascii="仿宋_GB2312" w:hAnsi="仿宋" w:hint="eastAsia"/>
          <w:szCs w:val="32"/>
        </w:rPr>
        <w:t>、</w:t>
      </w:r>
      <w:r w:rsidRPr="00EB5212">
        <w:rPr>
          <w:rFonts w:ascii="仿宋_GB2312" w:hAnsi="仿宋" w:hint="eastAsia"/>
          <w:szCs w:val="32"/>
        </w:rPr>
        <w:t>各类合同48小时内审核服务</w:t>
      </w:r>
      <w:r>
        <w:rPr>
          <w:rFonts w:ascii="仿宋_GB2312" w:hAnsi="仿宋" w:hint="eastAsia"/>
          <w:szCs w:val="32"/>
        </w:rPr>
        <w:t>、</w:t>
      </w:r>
      <w:r w:rsidRPr="00EB5212">
        <w:rPr>
          <w:rFonts w:ascii="仿宋_GB2312" w:hAnsi="仿宋" w:hint="eastAsia"/>
          <w:szCs w:val="32"/>
        </w:rPr>
        <w:t>重点问题约见律师2小内</w:t>
      </w:r>
      <w:r w:rsidRPr="006F4839">
        <w:rPr>
          <w:rFonts w:ascii="楷体_GB2312" w:eastAsia="楷体_GB2312" w:hAnsi="仿宋" w:hint="eastAsia"/>
          <w:sz w:val="28"/>
          <w:szCs w:val="32"/>
        </w:rPr>
        <w:t>（工作时间）</w:t>
      </w:r>
      <w:r w:rsidRPr="00EB5212">
        <w:rPr>
          <w:rFonts w:ascii="仿宋_GB2312" w:hAnsi="仿宋" w:hint="eastAsia"/>
          <w:szCs w:val="32"/>
        </w:rPr>
        <w:t>现场处理机制等，并积极实现招标文件要求的工作内容，为医院提供高效、优质、持续、可及的法律服务，最大限度的降低医院各类法律风险、保障医院及职工的合法权益。具体服务为：</w:t>
      </w:r>
    </w:p>
    <w:p w:rsidR="00BD6471" w:rsidRPr="00EB5212"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1</w:t>
      </w:r>
      <w:r>
        <w:rPr>
          <w:rFonts w:ascii="仿宋_GB2312" w:hAnsi="仿宋" w:hint="eastAsia"/>
          <w:szCs w:val="32"/>
        </w:rPr>
        <w:t>.</w:t>
      </w:r>
      <w:r w:rsidRPr="00EB5212">
        <w:rPr>
          <w:rFonts w:ascii="仿宋_GB2312" w:hAnsi="仿宋" w:hint="eastAsia"/>
          <w:szCs w:val="32"/>
        </w:rPr>
        <w:t>运用临床医学及法学相关专业知识，为</w:t>
      </w:r>
      <w:proofErr w:type="gramStart"/>
      <w:r w:rsidRPr="00EB5212">
        <w:rPr>
          <w:rFonts w:ascii="仿宋_GB2312" w:hAnsi="仿宋" w:hint="eastAsia"/>
          <w:szCs w:val="32"/>
        </w:rPr>
        <w:t>医</w:t>
      </w:r>
      <w:proofErr w:type="gramEnd"/>
      <w:r w:rsidRPr="00EB5212">
        <w:rPr>
          <w:rFonts w:ascii="仿宋_GB2312" w:hAnsi="仿宋" w:hint="eastAsia"/>
          <w:szCs w:val="32"/>
        </w:rPr>
        <w:t>患双方争议案件或涉诉案件提供专业的法医学、临床医学专业技术性分析及法律专业分析，并出具律师评估审查意见。</w:t>
      </w:r>
    </w:p>
    <w:p w:rsidR="00BD6471" w:rsidRPr="00EB5212"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2</w:t>
      </w:r>
      <w:r>
        <w:rPr>
          <w:rFonts w:ascii="仿宋_GB2312" w:hAnsi="仿宋" w:hint="eastAsia"/>
          <w:szCs w:val="32"/>
        </w:rPr>
        <w:t>.</w:t>
      </w:r>
      <w:r w:rsidRPr="00EB5212">
        <w:rPr>
          <w:rFonts w:ascii="仿宋_GB2312" w:hAnsi="仿宋" w:hint="eastAsia"/>
          <w:szCs w:val="32"/>
        </w:rPr>
        <w:t>代为申请</w:t>
      </w:r>
      <w:proofErr w:type="gramStart"/>
      <w:r w:rsidRPr="00EB5212">
        <w:rPr>
          <w:rFonts w:ascii="仿宋_GB2312" w:hAnsi="仿宋" w:hint="eastAsia"/>
          <w:szCs w:val="32"/>
        </w:rPr>
        <w:t>医</w:t>
      </w:r>
      <w:proofErr w:type="gramEnd"/>
      <w:r w:rsidRPr="00EB5212">
        <w:rPr>
          <w:rFonts w:ascii="仿宋_GB2312" w:hAnsi="仿宋" w:hint="eastAsia"/>
          <w:szCs w:val="32"/>
        </w:rPr>
        <w:t>调委调解、申请尸检、申请相关司法鉴定等事务，并参加相关的流程。</w:t>
      </w:r>
    </w:p>
    <w:p w:rsidR="00BD6471" w:rsidRPr="00EB5212"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3</w:t>
      </w:r>
      <w:r>
        <w:rPr>
          <w:rFonts w:ascii="仿宋_GB2312" w:hAnsi="仿宋" w:hint="eastAsia"/>
          <w:szCs w:val="32"/>
        </w:rPr>
        <w:t>.</w:t>
      </w:r>
      <w:r w:rsidRPr="00EB5212">
        <w:rPr>
          <w:rFonts w:ascii="仿宋_GB2312" w:hAnsi="仿宋" w:hint="eastAsia"/>
          <w:szCs w:val="32"/>
        </w:rPr>
        <w:t>审查病历资料，代理医疗纠纷诉讼、司法鉴定，撰写</w:t>
      </w:r>
      <w:r w:rsidRPr="00EB5212">
        <w:rPr>
          <w:rFonts w:ascii="仿宋_GB2312" w:hAnsi="仿宋" w:hint="eastAsia"/>
          <w:szCs w:val="32"/>
        </w:rPr>
        <w:lastRenderedPageBreak/>
        <w:t>相关法律文书，参与诉讼及鉴定案件的</w:t>
      </w:r>
      <w:proofErr w:type="gramStart"/>
      <w:r w:rsidRPr="00EB5212">
        <w:rPr>
          <w:rFonts w:ascii="仿宋_GB2312" w:hAnsi="仿宋" w:hint="eastAsia"/>
          <w:szCs w:val="32"/>
        </w:rPr>
        <w:t>的</w:t>
      </w:r>
      <w:proofErr w:type="gramEnd"/>
      <w:r w:rsidRPr="00EB5212">
        <w:rPr>
          <w:rFonts w:ascii="仿宋_GB2312" w:hAnsi="仿宋" w:hint="eastAsia"/>
          <w:szCs w:val="32"/>
        </w:rPr>
        <w:t>法律论证、策划。</w:t>
      </w:r>
    </w:p>
    <w:p w:rsidR="00BD6471" w:rsidRPr="00EB5212"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4</w:t>
      </w:r>
      <w:r>
        <w:rPr>
          <w:rFonts w:ascii="仿宋_GB2312" w:hAnsi="仿宋" w:hint="eastAsia"/>
          <w:szCs w:val="32"/>
        </w:rPr>
        <w:t>.</w:t>
      </w:r>
      <w:r w:rsidRPr="00EB5212">
        <w:rPr>
          <w:rFonts w:ascii="仿宋_GB2312" w:hAnsi="仿宋" w:hint="eastAsia"/>
          <w:szCs w:val="32"/>
        </w:rPr>
        <w:t>参与院内外和解、调解，并代表医院针对</w:t>
      </w:r>
      <w:proofErr w:type="gramStart"/>
      <w:r w:rsidRPr="00EB5212">
        <w:rPr>
          <w:rFonts w:ascii="仿宋_GB2312" w:hAnsi="仿宋" w:hint="eastAsia"/>
          <w:szCs w:val="32"/>
        </w:rPr>
        <w:t>医</w:t>
      </w:r>
      <w:proofErr w:type="gramEnd"/>
      <w:r w:rsidRPr="00EB5212">
        <w:rPr>
          <w:rFonts w:ascii="仿宋_GB2312" w:hAnsi="仿宋" w:hint="eastAsia"/>
          <w:szCs w:val="32"/>
        </w:rPr>
        <w:t>患双方合意的赔偿方案进行司法确认、司法调解工作。</w:t>
      </w:r>
    </w:p>
    <w:p w:rsidR="00BD6471" w:rsidRPr="0027137A" w:rsidRDefault="00BD6471" w:rsidP="00BD6471">
      <w:pPr>
        <w:spacing w:line="579" w:lineRule="exact"/>
        <w:ind w:firstLineChars="200" w:firstLine="640"/>
        <w:rPr>
          <w:rFonts w:ascii="仿宋_GB2312" w:hAnsi="仿宋"/>
          <w:szCs w:val="32"/>
        </w:rPr>
      </w:pPr>
      <w:r>
        <w:rPr>
          <w:rFonts w:ascii="楷体_GB2312" w:eastAsia="楷体_GB2312" w:hAnsi="仿宋" w:hint="eastAsia"/>
          <w:szCs w:val="32"/>
        </w:rPr>
        <w:t>二、</w:t>
      </w:r>
      <w:r w:rsidRPr="0027137A">
        <w:rPr>
          <w:rFonts w:ascii="楷体_GB2312" w:eastAsia="楷体_GB2312" w:hAnsi="仿宋" w:hint="eastAsia"/>
          <w:szCs w:val="32"/>
        </w:rPr>
        <w:t>全院法律顾问业务</w:t>
      </w:r>
    </w:p>
    <w:p w:rsidR="00BD6471"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律师团队为全院各部门提供全面法律顾问服务，提供电话24小时免费咨询业务，具体为：</w:t>
      </w:r>
    </w:p>
    <w:p w:rsidR="00BD6471"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1</w:t>
      </w:r>
      <w:r>
        <w:rPr>
          <w:rFonts w:ascii="仿宋_GB2312" w:hAnsi="仿宋" w:hint="eastAsia"/>
          <w:szCs w:val="32"/>
        </w:rPr>
        <w:t>.为医院重大行政决策事项合法性等提供咨询论证意见。</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2.</w:t>
      </w:r>
      <w:r w:rsidRPr="00EB5212">
        <w:rPr>
          <w:rFonts w:ascii="仿宋_GB2312" w:hAnsi="仿宋" w:hint="eastAsia"/>
          <w:szCs w:val="32"/>
        </w:rPr>
        <w:t>为医院日常医疗、采购、对外合作等事项提供法律咨询、法律意见及建议，必要时出具法律意见书及律师函。</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3.</w:t>
      </w:r>
      <w:r w:rsidRPr="00EB5212">
        <w:rPr>
          <w:rFonts w:ascii="仿宋_GB2312" w:hAnsi="仿宋" w:hint="eastAsia"/>
          <w:szCs w:val="32"/>
        </w:rPr>
        <w:t>根据医院要求，草拟、审查、修改有关协议、合同及其他法律文件，为医院签订的招标采购、医院协作、培训交流、</w:t>
      </w:r>
      <w:r>
        <w:rPr>
          <w:rFonts w:ascii="仿宋_GB2312" w:hAnsi="仿宋" w:hint="eastAsia"/>
          <w:szCs w:val="32"/>
        </w:rPr>
        <w:t>人力资源</w:t>
      </w:r>
      <w:r w:rsidRPr="00EB5212">
        <w:rPr>
          <w:rFonts w:ascii="仿宋_GB2312" w:hAnsi="仿宋" w:hint="eastAsia"/>
          <w:szCs w:val="32"/>
        </w:rPr>
        <w:t>等合同出具法律审查意见，为医院处理重大经济、法律事项提供法律咨询意见或提供法律可行性意见。</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4.</w:t>
      </w:r>
      <w:r w:rsidRPr="00EB5212">
        <w:rPr>
          <w:rFonts w:ascii="仿宋_GB2312" w:hAnsi="仿宋" w:hint="eastAsia"/>
          <w:szCs w:val="32"/>
        </w:rPr>
        <w:t>参与医院重大对外谈判与协商活动，起草或审核相关法律文书，根据医院的需求提供法律意见，防止或减少潜在纠纷。</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5.</w:t>
      </w:r>
      <w:r w:rsidRPr="00EB5212">
        <w:rPr>
          <w:rFonts w:ascii="仿宋_GB2312" w:hAnsi="仿宋" w:hint="eastAsia"/>
          <w:szCs w:val="32"/>
        </w:rPr>
        <w:t>为医院审查内部规章制度，提供伦理审查，并就医院的内部制度提供涉及有关法律咨询服务，协助医院增强内部管理的规范性和可操作性。</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6.</w:t>
      </w:r>
      <w:r w:rsidRPr="00EB5212">
        <w:rPr>
          <w:rFonts w:ascii="仿宋_GB2312" w:hAnsi="仿宋" w:hint="eastAsia"/>
          <w:szCs w:val="32"/>
        </w:rPr>
        <w:t>根据医院要求，对已经面临或者可能发生的法律风险，进行法律论证，提出解决方案，出具律师函，发表律师意见，或者参与非诉讼谈判、协调、调解。</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7.</w:t>
      </w:r>
      <w:r w:rsidRPr="00EB5212">
        <w:rPr>
          <w:rFonts w:ascii="仿宋_GB2312" w:hAnsi="仿宋" w:hint="eastAsia"/>
          <w:szCs w:val="32"/>
        </w:rPr>
        <w:t>顾问律师每周在医院现场办公不少于2次</w:t>
      </w:r>
      <w:r w:rsidRPr="000F0BC4">
        <w:rPr>
          <w:rFonts w:ascii="楷体_GB2312" w:eastAsia="楷体_GB2312" w:hAnsi="仿宋" w:hint="eastAsia"/>
          <w:sz w:val="28"/>
          <w:szCs w:val="32"/>
        </w:rPr>
        <w:t>（两个半天）</w:t>
      </w:r>
      <w:r w:rsidRPr="00EB5212">
        <w:rPr>
          <w:rFonts w:ascii="仿宋_GB2312" w:hAnsi="仿宋" w:hint="eastAsia"/>
          <w:szCs w:val="32"/>
        </w:rPr>
        <w:t>，</w:t>
      </w:r>
      <w:r w:rsidRPr="00EB5212">
        <w:rPr>
          <w:rFonts w:ascii="仿宋_GB2312" w:hAnsi="仿宋" w:hint="eastAsia"/>
          <w:szCs w:val="32"/>
        </w:rPr>
        <w:lastRenderedPageBreak/>
        <w:t>办公时间根据医院需要确定，如遇特殊情况可随时到位；医院重大事项应按照医院的要求参加院领导或业务部门召集的会议，提出法律意见及建议。</w:t>
      </w:r>
    </w:p>
    <w:p w:rsidR="00BD6471" w:rsidRDefault="00BD6471" w:rsidP="00BD6471">
      <w:pPr>
        <w:spacing w:line="579" w:lineRule="exact"/>
        <w:ind w:firstLineChars="200" w:firstLine="640"/>
        <w:rPr>
          <w:rFonts w:ascii="仿宋_GB2312" w:hAnsi="仿宋"/>
          <w:szCs w:val="32"/>
        </w:rPr>
      </w:pPr>
      <w:r>
        <w:rPr>
          <w:rFonts w:ascii="仿宋_GB2312" w:hAnsi="仿宋" w:hint="eastAsia"/>
          <w:szCs w:val="32"/>
        </w:rPr>
        <w:t>8.</w:t>
      </w:r>
      <w:r w:rsidRPr="00EB5212">
        <w:rPr>
          <w:rFonts w:ascii="仿宋_GB2312" w:hAnsi="仿宋" w:hint="eastAsia"/>
          <w:szCs w:val="32"/>
        </w:rPr>
        <w:t>结合法律法务工作情况，不定期出具法务工作改进建议书、年终出具年度法律服务报告书。</w:t>
      </w:r>
    </w:p>
    <w:p w:rsidR="00BD6471" w:rsidRPr="00EB5212" w:rsidRDefault="00BD6471" w:rsidP="00BD6471">
      <w:pPr>
        <w:spacing w:line="579" w:lineRule="exact"/>
        <w:ind w:firstLineChars="200" w:firstLine="640"/>
        <w:rPr>
          <w:rFonts w:ascii="仿宋_GB2312" w:hAnsi="仿宋"/>
          <w:szCs w:val="32"/>
        </w:rPr>
      </w:pPr>
      <w:r>
        <w:rPr>
          <w:rFonts w:ascii="仿宋_GB2312" w:hAnsi="仿宋" w:hint="eastAsia"/>
          <w:szCs w:val="32"/>
        </w:rPr>
        <w:t>9.受托开展医院的其他</w:t>
      </w:r>
      <w:r w:rsidRPr="00EB5212">
        <w:rPr>
          <w:rFonts w:ascii="仿宋_GB2312" w:hAnsi="仿宋" w:hint="eastAsia"/>
          <w:szCs w:val="32"/>
        </w:rPr>
        <w:t>法律顾问服务</w:t>
      </w:r>
      <w:r>
        <w:rPr>
          <w:rFonts w:ascii="仿宋_GB2312" w:hAnsi="仿宋" w:hint="eastAsia"/>
          <w:szCs w:val="32"/>
        </w:rPr>
        <w:t>事务。</w:t>
      </w:r>
    </w:p>
    <w:p w:rsidR="00BD6471" w:rsidRPr="0027137A" w:rsidRDefault="00BD6471" w:rsidP="00BD6471">
      <w:pPr>
        <w:spacing w:line="579" w:lineRule="exact"/>
        <w:ind w:firstLineChars="200" w:firstLine="640"/>
        <w:rPr>
          <w:rFonts w:ascii="楷体_GB2312" w:eastAsia="楷体_GB2312" w:hAnsi="仿宋"/>
          <w:szCs w:val="32"/>
        </w:rPr>
      </w:pPr>
      <w:r>
        <w:rPr>
          <w:rFonts w:ascii="楷体_GB2312" w:eastAsia="楷体_GB2312" w:hAnsi="仿宋" w:hint="eastAsia"/>
          <w:szCs w:val="32"/>
        </w:rPr>
        <w:t>三、</w:t>
      </w:r>
      <w:r w:rsidRPr="0027137A">
        <w:rPr>
          <w:rFonts w:ascii="楷体_GB2312" w:eastAsia="楷体_GB2312" w:hAnsi="仿宋" w:hint="eastAsia"/>
          <w:szCs w:val="32"/>
        </w:rPr>
        <w:t>非医疗诉讼案件办理。</w:t>
      </w:r>
    </w:p>
    <w:p w:rsidR="00BD6471" w:rsidRDefault="00BD6471" w:rsidP="00BD6471">
      <w:pPr>
        <w:spacing w:line="579" w:lineRule="exact"/>
        <w:ind w:firstLineChars="200" w:firstLine="640"/>
        <w:rPr>
          <w:rFonts w:ascii="仿宋_GB2312" w:hAnsi="仿宋"/>
          <w:szCs w:val="32"/>
        </w:rPr>
      </w:pPr>
      <w:r w:rsidRPr="00EB5212">
        <w:rPr>
          <w:rFonts w:ascii="仿宋_GB2312" w:hAnsi="仿宋" w:hint="eastAsia"/>
          <w:szCs w:val="32"/>
        </w:rPr>
        <w:t>非医疗纠纷诉讼案件</w:t>
      </w:r>
      <w:r w:rsidRPr="00CE54A8">
        <w:rPr>
          <w:rFonts w:ascii="仿宋_GB2312" w:hAnsi="仿宋" w:hint="eastAsia"/>
          <w:szCs w:val="32"/>
        </w:rPr>
        <w:t>，指除医疗纠纷外的其他诉讼、仲裁等案件。</w:t>
      </w:r>
      <w:r>
        <w:rPr>
          <w:rFonts w:ascii="仿宋_GB2312" w:hAnsi="仿宋" w:hint="eastAsia"/>
          <w:szCs w:val="32"/>
        </w:rPr>
        <w:t>（一案一签）</w:t>
      </w:r>
    </w:p>
    <w:p w:rsidR="00BD6471" w:rsidRDefault="00BD6471" w:rsidP="00BD6471">
      <w:pPr>
        <w:spacing w:line="579" w:lineRule="exact"/>
        <w:ind w:firstLineChars="200" w:firstLine="640"/>
        <w:rPr>
          <w:rFonts w:ascii="楷体_GB2312" w:eastAsia="楷体_GB2312" w:hAnsi="仿宋"/>
          <w:szCs w:val="32"/>
        </w:rPr>
      </w:pPr>
      <w:r>
        <w:rPr>
          <w:rFonts w:ascii="楷体_GB2312" w:eastAsia="楷体_GB2312" w:hAnsi="仿宋" w:hint="eastAsia"/>
          <w:szCs w:val="32"/>
        </w:rPr>
        <w:t>四、惠兵暖心服务</w:t>
      </w:r>
    </w:p>
    <w:p w:rsidR="00BD6471" w:rsidRPr="0027137A" w:rsidRDefault="00BD6471" w:rsidP="00BD6471">
      <w:pPr>
        <w:spacing w:line="579" w:lineRule="exact"/>
        <w:ind w:firstLineChars="200" w:firstLine="640"/>
        <w:rPr>
          <w:rFonts w:ascii="仿宋_GB2312" w:hAnsi="仿宋"/>
          <w:szCs w:val="32"/>
        </w:rPr>
      </w:pPr>
      <w:r>
        <w:rPr>
          <w:rFonts w:ascii="楷体_GB2312" w:eastAsia="楷体_GB2312" w:hAnsi="仿宋" w:hint="eastAsia"/>
          <w:szCs w:val="32"/>
        </w:rPr>
        <w:t>为上级单位所属</w:t>
      </w:r>
      <w:r w:rsidRPr="0027137A">
        <w:rPr>
          <w:rFonts w:ascii="楷体_GB2312" w:eastAsia="楷体_GB2312" w:hAnsi="仿宋" w:hint="eastAsia"/>
          <w:szCs w:val="32"/>
        </w:rPr>
        <w:t>甘肃片区单位和医院人员家属等法律顾问业务，其他各类纠纷诉讼案件，均按照非医疗诉讼案件办理。</w:t>
      </w:r>
    </w:p>
    <w:p w:rsidR="00BD6471" w:rsidRPr="009231B0" w:rsidRDefault="00BD6471" w:rsidP="00BD6471">
      <w:pPr>
        <w:spacing w:line="579" w:lineRule="exact"/>
        <w:ind w:firstLineChars="200" w:firstLine="640"/>
        <w:rPr>
          <w:rFonts w:ascii="楷体_GB2312" w:eastAsia="楷体_GB2312" w:hAnsi="仿宋"/>
          <w:szCs w:val="32"/>
        </w:rPr>
      </w:pPr>
      <w:r w:rsidRPr="009231B0">
        <w:rPr>
          <w:rFonts w:ascii="楷体_GB2312" w:eastAsia="楷体_GB2312" w:hAnsi="仿宋" w:hint="eastAsia"/>
          <w:szCs w:val="32"/>
        </w:rPr>
        <w:t>五、服务质量考核</w:t>
      </w:r>
    </w:p>
    <w:p w:rsidR="00BD6471" w:rsidRPr="004232E4" w:rsidRDefault="00BD6471" w:rsidP="00BD6471">
      <w:pPr>
        <w:pStyle w:val="ab"/>
        <w:spacing w:before="0" w:beforeAutospacing="0" w:after="0" w:afterAutospacing="0" w:line="579" w:lineRule="exact"/>
        <w:ind w:firstLine="650"/>
        <w:rPr>
          <w:rFonts w:ascii="仿宋_GB2312" w:hAnsi="仿宋"/>
          <w:kern w:val="2"/>
          <w:sz w:val="32"/>
          <w:szCs w:val="32"/>
        </w:rPr>
      </w:pPr>
      <w:r w:rsidRPr="004232E4">
        <w:rPr>
          <w:rFonts w:ascii="仿宋_GB2312" w:hAnsi="仿宋" w:hint="eastAsia"/>
          <w:kern w:val="2"/>
          <w:sz w:val="32"/>
          <w:szCs w:val="32"/>
        </w:rPr>
        <w:t>每年度对法律</w:t>
      </w:r>
      <w:r>
        <w:rPr>
          <w:rFonts w:ascii="仿宋_GB2312" w:hAnsi="仿宋" w:hint="eastAsia"/>
          <w:kern w:val="2"/>
          <w:sz w:val="32"/>
          <w:szCs w:val="32"/>
        </w:rPr>
        <w:t>服务</w:t>
      </w:r>
      <w:r w:rsidRPr="004232E4">
        <w:rPr>
          <w:rFonts w:ascii="仿宋_GB2312" w:hAnsi="仿宋" w:hint="eastAsia"/>
          <w:kern w:val="2"/>
          <w:sz w:val="32"/>
          <w:szCs w:val="32"/>
        </w:rPr>
        <w:t>律所的满意度进行综合评价，评分低于80分</w:t>
      </w:r>
      <w:r w:rsidRPr="004232E4">
        <w:rPr>
          <w:rFonts w:ascii="楷体_GB2312" w:eastAsia="楷体_GB2312" w:hAnsi="仿宋" w:hint="eastAsia"/>
          <w:kern w:val="2"/>
          <w:sz w:val="28"/>
          <w:szCs w:val="32"/>
        </w:rPr>
        <w:t>（百分评价制，标准</w:t>
      </w:r>
      <w:r>
        <w:rPr>
          <w:rFonts w:ascii="楷体_GB2312" w:eastAsia="楷体_GB2312" w:hAnsi="仿宋" w:hint="eastAsia"/>
          <w:kern w:val="2"/>
          <w:sz w:val="28"/>
          <w:szCs w:val="32"/>
        </w:rPr>
        <w:t>见</w:t>
      </w:r>
      <w:r w:rsidRPr="004232E4">
        <w:rPr>
          <w:rFonts w:ascii="楷体_GB2312" w:eastAsia="楷体_GB2312" w:hAnsi="仿宋" w:hint="eastAsia"/>
          <w:kern w:val="2"/>
          <w:sz w:val="28"/>
          <w:szCs w:val="32"/>
        </w:rPr>
        <w:t>《考核细则》）</w:t>
      </w:r>
      <w:r w:rsidRPr="004232E4">
        <w:rPr>
          <w:rFonts w:ascii="仿宋_GB2312" w:hAnsi="仿宋" w:hint="eastAsia"/>
          <w:kern w:val="2"/>
          <w:sz w:val="32"/>
          <w:szCs w:val="32"/>
        </w:rPr>
        <w:t>不再续签合同。</w:t>
      </w:r>
    </w:p>
    <w:p w:rsidR="00BD6471" w:rsidRPr="009231B0" w:rsidRDefault="00BD6471" w:rsidP="00BD6471">
      <w:pPr>
        <w:spacing w:line="579" w:lineRule="exact"/>
        <w:ind w:firstLineChars="200" w:firstLine="640"/>
        <w:rPr>
          <w:rFonts w:ascii="楷体_GB2312" w:eastAsia="楷体_GB2312" w:hAnsi="仿宋"/>
          <w:szCs w:val="32"/>
        </w:rPr>
      </w:pPr>
      <w:r w:rsidRPr="009231B0">
        <w:rPr>
          <w:rFonts w:ascii="楷体_GB2312" w:eastAsia="楷体_GB2312" w:hAnsi="仿宋" w:hint="eastAsia"/>
          <w:szCs w:val="32"/>
        </w:rPr>
        <w:t>六、专利权和保密要求</w:t>
      </w:r>
    </w:p>
    <w:p w:rsidR="00BD6471" w:rsidRPr="00315C19" w:rsidRDefault="00BD6471" w:rsidP="00BD6471">
      <w:pPr>
        <w:pStyle w:val="ab"/>
        <w:spacing w:before="0" w:beforeAutospacing="0" w:after="0" w:afterAutospacing="0" w:line="579" w:lineRule="exact"/>
        <w:ind w:firstLine="650"/>
        <w:rPr>
          <w:rFonts w:ascii="仿宋_GB2312" w:hAnsi="仿宋"/>
          <w:kern w:val="2"/>
          <w:sz w:val="32"/>
          <w:szCs w:val="32"/>
        </w:rPr>
      </w:pPr>
      <w:r w:rsidRPr="00315C19">
        <w:rPr>
          <w:rFonts w:ascii="仿宋_GB2312" w:hAnsi="仿宋" w:hint="eastAsia"/>
          <w:kern w:val="2"/>
          <w:sz w:val="32"/>
          <w:szCs w:val="32"/>
        </w:rPr>
        <w:t>1</w:t>
      </w:r>
      <w:r>
        <w:rPr>
          <w:rFonts w:ascii="仿宋_GB2312" w:hAnsi="仿宋" w:hint="eastAsia"/>
          <w:kern w:val="2"/>
          <w:sz w:val="32"/>
          <w:szCs w:val="32"/>
        </w:rPr>
        <w:t>.</w:t>
      </w:r>
      <w:r w:rsidRPr="00EB5212">
        <w:rPr>
          <w:rFonts w:ascii="仿宋_GB2312" w:hAnsi="仿宋" w:hint="eastAsia"/>
          <w:sz w:val="32"/>
          <w:szCs w:val="32"/>
        </w:rPr>
        <w:t>律师团队</w:t>
      </w:r>
      <w:r w:rsidRPr="00315C19">
        <w:rPr>
          <w:rFonts w:ascii="仿宋_GB2312" w:hAnsi="仿宋" w:hint="eastAsia"/>
          <w:kern w:val="2"/>
          <w:sz w:val="32"/>
          <w:szCs w:val="32"/>
        </w:rPr>
        <w:t>应保证所提供的服务或其任何一部分均不会侵犯任何第三方的专利权、商标权或著作权。</w:t>
      </w:r>
    </w:p>
    <w:p w:rsidR="00BD6471" w:rsidRPr="00315C19" w:rsidRDefault="00BD6471" w:rsidP="00BD6471">
      <w:pPr>
        <w:pStyle w:val="ab"/>
        <w:spacing w:before="0" w:beforeAutospacing="0" w:after="0" w:afterAutospacing="0" w:line="579" w:lineRule="exact"/>
        <w:ind w:firstLine="650"/>
        <w:rPr>
          <w:rFonts w:ascii="仿宋_GB2312" w:hAnsi="仿宋"/>
          <w:kern w:val="2"/>
          <w:sz w:val="32"/>
          <w:szCs w:val="32"/>
        </w:rPr>
      </w:pPr>
      <w:r w:rsidRPr="00315C19">
        <w:rPr>
          <w:rFonts w:ascii="仿宋_GB2312" w:hAnsi="仿宋" w:hint="eastAsia"/>
          <w:kern w:val="2"/>
          <w:sz w:val="32"/>
          <w:szCs w:val="32"/>
        </w:rPr>
        <w:t>2</w:t>
      </w:r>
      <w:r>
        <w:rPr>
          <w:rFonts w:ascii="仿宋_GB2312" w:hAnsi="仿宋" w:hint="eastAsia"/>
          <w:kern w:val="2"/>
          <w:sz w:val="32"/>
          <w:szCs w:val="32"/>
        </w:rPr>
        <w:t>.</w:t>
      </w:r>
      <w:r w:rsidRPr="00EB5212">
        <w:rPr>
          <w:rFonts w:ascii="仿宋_GB2312" w:hAnsi="仿宋" w:hint="eastAsia"/>
          <w:sz w:val="32"/>
          <w:szCs w:val="32"/>
        </w:rPr>
        <w:t>律师团队</w:t>
      </w:r>
      <w:r w:rsidRPr="00315C19">
        <w:rPr>
          <w:rFonts w:ascii="仿宋_GB2312" w:hAnsi="仿宋" w:hint="eastAsia"/>
          <w:kern w:val="2"/>
          <w:sz w:val="32"/>
          <w:szCs w:val="32"/>
        </w:rPr>
        <w:t>及其员工不得向第三方泄露</w:t>
      </w:r>
      <w:r>
        <w:rPr>
          <w:rFonts w:ascii="仿宋_GB2312" w:hAnsi="仿宋" w:hint="eastAsia"/>
          <w:kern w:val="2"/>
          <w:sz w:val="32"/>
          <w:szCs w:val="32"/>
        </w:rPr>
        <w:t>医院</w:t>
      </w:r>
      <w:r w:rsidRPr="00315C19">
        <w:rPr>
          <w:rFonts w:ascii="仿宋_GB2312" w:hAnsi="仿宋" w:hint="eastAsia"/>
          <w:kern w:val="2"/>
          <w:sz w:val="32"/>
          <w:szCs w:val="32"/>
        </w:rPr>
        <w:t>提供的技术文件等资料以及履行合同过程中获知的</w:t>
      </w:r>
      <w:r>
        <w:rPr>
          <w:rFonts w:ascii="仿宋_GB2312" w:hAnsi="仿宋" w:hint="eastAsia"/>
          <w:kern w:val="2"/>
          <w:sz w:val="32"/>
          <w:szCs w:val="32"/>
        </w:rPr>
        <w:t>医院</w:t>
      </w:r>
      <w:r w:rsidRPr="00315C19">
        <w:rPr>
          <w:rFonts w:ascii="仿宋_GB2312" w:hAnsi="仿宋" w:hint="eastAsia"/>
          <w:kern w:val="2"/>
          <w:sz w:val="32"/>
          <w:szCs w:val="32"/>
        </w:rPr>
        <w:t>机关秘密及其他未公开信息等。保密期限为永久。对于</w:t>
      </w:r>
      <w:r>
        <w:rPr>
          <w:rFonts w:ascii="仿宋_GB2312" w:hAnsi="仿宋" w:hint="eastAsia"/>
          <w:kern w:val="2"/>
          <w:sz w:val="32"/>
          <w:szCs w:val="32"/>
        </w:rPr>
        <w:t>医院</w:t>
      </w:r>
      <w:r w:rsidRPr="00315C19">
        <w:rPr>
          <w:rFonts w:ascii="仿宋_GB2312" w:hAnsi="仿宋" w:hint="eastAsia"/>
          <w:kern w:val="2"/>
          <w:sz w:val="32"/>
          <w:szCs w:val="32"/>
        </w:rPr>
        <w:t>资料按密级管理，不得泄密。</w:t>
      </w:r>
    </w:p>
    <w:p w:rsidR="00BD6471" w:rsidRDefault="00BD6471" w:rsidP="00BD6471">
      <w:pPr>
        <w:pStyle w:val="ab"/>
        <w:spacing w:before="0" w:beforeAutospacing="0" w:after="0" w:afterAutospacing="0" w:line="579" w:lineRule="exact"/>
        <w:ind w:firstLine="650"/>
        <w:rPr>
          <w:rFonts w:ascii="仿宋_GB2312" w:hAnsi="仿宋"/>
          <w:kern w:val="2"/>
          <w:sz w:val="32"/>
          <w:szCs w:val="32"/>
        </w:rPr>
      </w:pPr>
      <w:r w:rsidRPr="00315C19">
        <w:rPr>
          <w:rFonts w:ascii="仿宋_GB2312" w:hAnsi="仿宋" w:hint="eastAsia"/>
          <w:kern w:val="2"/>
          <w:sz w:val="32"/>
          <w:szCs w:val="32"/>
        </w:rPr>
        <w:t>3</w:t>
      </w:r>
      <w:r>
        <w:rPr>
          <w:rFonts w:ascii="仿宋_GB2312" w:hAnsi="仿宋" w:hint="eastAsia"/>
          <w:kern w:val="2"/>
          <w:sz w:val="32"/>
          <w:szCs w:val="32"/>
        </w:rPr>
        <w:t>.</w:t>
      </w:r>
      <w:r w:rsidRPr="00EB5212">
        <w:rPr>
          <w:rFonts w:ascii="仿宋_GB2312" w:hAnsi="仿宋" w:hint="eastAsia"/>
          <w:sz w:val="32"/>
          <w:szCs w:val="32"/>
        </w:rPr>
        <w:t>律师团队</w:t>
      </w:r>
      <w:r w:rsidRPr="00315C19">
        <w:rPr>
          <w:rFonts w:ascii="仿宋_GB2312" w:hAnsi="仿宋" w:hint="eastAsia"/>
          <w:kern w:val="2"/>
          <w:sz w:val="32"/>
          <w:szCs w:val="32"/>
        </w:rPr>
        <w:t>须严格遵守军队有关保密规定要求。</w:t>
      </w:r>
    </w:p>
    <w:p w:rsidR="00BD6471" w:rsidRDefault="00BD6471" w:rsidP="00BD6471">
      <w:pPr>
        <w:pStyle w:val="ab"/>
        <w:spacing w:before="0" w:beforeAutospacing="0" w:after="0" w:afterAutospacing="0" w:line="579" w:lineRule="exact"/>
        <w:jc w:val="center"/>
        <w:rPr>
          <w:rFonts w:ascii="方正小标宋简体" w:eastAsia="方正小标宋简体" w:hAnsi="仿宋"/>
          <w:kern w:val="2"/>
          <w:sz w:val="44"/>
          <w:szCs w:val="44"/>
        </w:rPr>
      </w:pPr>
      <w:bookmarkStart w:id="0" w:name="_GoBack"/>
      <w:bookmarkEnd w:id="0"/>
      <w:r w:rsidRPr="001478EF">
        <w:rPr>
          <w:rFonts w:ascii="方正小标宋简体" w:eastAsia="方正小标宋简体" w:hAnsi="仿宋" w:hint="eastAsia"/>
          <w:kern w:val="2"/>
          <w:sz w:val="44"/>
          <w:szCs w:val="44"/>
        </w:rPr>
        <w:lastRenderedPageBreak/>
        <w:t>医院法律</w:t>
      </w:r>
      <w:r>
        <w:rPr>
          <w:rFonts w:ascii="方正小标宋简体" w:eastAsia="方正小标宋简体" w:hAnsi="仿宋" w:hint="eastAsia"/>
          <w:kern w:val="2"/>
          <w:sz w:val="44"/>
          <w:szCs w:val="44"/>
        </w:rPr>
        <w:t>顾问</w:t>
      </w:r>
      <w:r w:rsidRPr="001478EF">
        <w:rPr>
          <w:rFonts w:ascii="方正小标宋简体" w:eastAsia="方正小标宋简体" w:hAnsi="仿宋" w:hint="eastAsia"/>
          <w:kern w:val="2"/>
          <w:sz w:val="44"/>
          <w:szCs w:val="44"/>
        </w:rPr>
        <w:t>考评细则</w:t>
      </w:r>
    </w:p>
    <w:p w:rsidR="00BD6471" w:rsidRPr="00AF75F9" w:rsidRDefault="00BD6471" w:rsidP="00BD6471">
      <w:pPr>
        <w:pStyle w:val="ab"/>
        <w:spacing w:before="0" w:beforeAutospacing="0" w:after="0" w:afterAutospacing="0" w:line="579" w:lineRule="exact"/>
        <w:rPr>
          <w:rFonts w:ascii="楷体_GB2312" w:eastAsia="楷体_GB2312" w:hAnsi="仿宋"/>
          <w:kern w:val="2"/>
          <w:sz w:val="28"/>
          <w:szCs w:val="28"/>
        </w:rPr>
      </w:pPr>
      <w:r w:rsidRPr="00AF75F9">
        <w:rPr>
          <w:rFonts w:ascii="楷体_GB2312" w:eastAsia="楷体_GB2312" w:hAnsi="仿宋" w:hint="eastAsia"/>
          <w:kern w:val="2"/>
          <w:sz w:val="28"/>
          <w:szCs w:val="28"/>
        </w:rPr>
        <w:t>被考核</w:t>
      </w:r>
      <w:r>
        <w:rPr>
          <w:rFonts w:ascii="楷体_GB2312" w:eastAsia="楷体_GB2312" w:hAnsi="仿宋" w:hint="eastAsia"/>
          <w:kern w:val="2"/>
          <w:sz w:val="28"/>
          <w:szCs w:val="28"/>
        </w:rPr>
        <w:t>律所</w:t>
      </w:r>
      <w:r w:rsidRPr="00AF75F9">
        <w:rPr>
          <w:rFonts w:ascii="楷体_GB2312" w:eastAsia="楷体_GB2312" w:hAnsi="仿宋" w:hint="eastAsia"/>
          <w:kern w:val="2"/>
          <w:sz w:val="28"/>
          <w:szCs w:val="28"/>
        </w:rPr>
        <w:t xml:space="preserve">：                </w:t>
      </w:r>
      <w:r>
        <w:rPr>
          <w:rFonts w:ascii="楷体_GB2312" w:eastAsia="楷体_GB2312" w:hAnsi="仿宋" w:hint="eastAsia"/>
          <w:kern w:val="2"/>
          <w:sz w:val="28"/>
          <w:szCs w:val="28"/>
        </w:rPr>
        <w:t xml:space="preserve">       </w:t>
      </w:r>
      <w:r w:rsidRPr="00AF75F9">
        <w:rPr>
          <w:rFonts w:ascii="楷体_GB2312" w:eastAsia="楷体_GB2312" w:hAnsi="仿宋" w:hint="eastAsia"/>
          <w:kern w:val="2"/>
          <w:sz w:val="28"/>
          <w:szCs w:val="28"/>
        </w:rPr>
        <w:t xml:space="preserve">         填表日期：</w:t>
      </w:r>
    </w:p>
    <w:tbl>
      <w:tblPr>
        <w:tblStyle w:val="ac"/>
        <w:tblW w:w="0" w:type="auto"/>
        <w:tblLook w:val="04A0" w:firstRow="1" w:lastRow="0" w:firstColumn="1" w:lastColumn="0" w:noHBand="0" w:noVBand="1"/>
      </w:tblPr>
      <w:tblGrid>
        <w:gridCol w:w="908"/>
        <w:gridCol w:w="1091"/>
        <w:gridCol w:w="1473"/>
        <w:gridCol w:w="4155"/>
        <w:gridCol w:w="426"/>
        <w:gridCol w:w="469"/>
      </w:tblGrid>
      <w:tr w:rsidR="00BD6471" w:rsidTr="00F6618C">
        <w:tc>
          <w:tcPr>
            <w:tcW w:w="2065" w:type="dxa"/>
            <w:gridSpan w:val="2"/>
            <w:vAlign w:val="center"/>
          </w:tcPr>
          <w:p w:rsidR="00BD6471" w:rsidRPr="00385655" w:rsidRDefault="00BD6471" w:rsidP="00F6618C">
            <w:pPr>
              <w:pStyle w:val="ab"/>
              <w:spacing w:before="0" w:beforeAutospacing="0" w:after="0" w:afterAutospacing="0" w:line="579" w:lineRule="exact"/>
              <w:jc w:val="center"/>
              <w:rPr>
                <w:rFonts w:ascii="黑体" w:eastAsia="黑体" w:hAnsi="黑体"/>
                <w:sz w:val="28"/>
                <w:szCs w:val="28"/>
              </w:rPr>
            </w:pPr>
            <w:r w:rsidRPr="00385655">
              <w:rPr>
                <w:rFonts w:ascii="黑体" w:eastAsia="黑体" w:hAnsi="黑体" w:hint="eastAsia"/>
                <w:sz w:val="28"/>
                <w:szCs w:val="28"/>
              </w:rPr>
              <w:t>考核项目</w:t>
            </w:r>
          </w:p>
        </w:tc>
        <w:tc>
          <w:tcPr>
            <w:tcW w:w="1559" w:type="dxa"/>
            <w:vAlign w:val="center"/>
          </w:tcPr>
          <w:p w:rsidR="00BD6471" w:rsidRPr="00385655" w:rsidRDefault="00BD6471" w:rsidP="00F6618C">
            <w:pPr>
              <w:pStyle w:val="ab"/>
              <w:spacing w:before="0" w:beforeAutospacing="0" w:after="0" w:afterAutospacing="0" w:line="579" w:lineRule="exact"/>
              <w:jc w:val="center"/>
              <w:rPr>
                <w:rFonts w:ascii="黑体" w:eastAsia="黑体" w:hAnsi="黑体"/>
                <w:sz w:val="28"/>
                <w:szCs w:val="28"/>
              </w:rPr>
            </w:pPr>
            <w:r>
              <w:rPr>
                <w:rFonts w:ascii="黑体" w:eastAsia="黑体" w:hAnsi="黑体" w:hint="eastAsia"/>
                <w:sz w:val="28"/>
                <w:szCs w:val="28"/>
              </w:rPr>
              <w:t>工作要求</w:t>
            </w:r>
          </w:p>
        </w:tc>
        <w:tc>
          <w:tcPr>
            <w:tcW w:w="4536" w:type="dxa"/>
            <w:vAlign w:val="center"/>
          </w:tcPr>
          <w:p w:rsidR="00BD6471" w:rsidRPr="00385655" w:rsidRDefault="00BD6471" w:rsidP="00F6618C">
            <w:pPr>
              <w:pStyle w:val="ab"/>
              <w:spacing w:before="0" w:beforeAutospacing="0" w:after="0" w:afterAutospacing="0" w:line="579" w:lineRule="exact"/>
              <w:jc w:val="center"/>
              <w:rPr>
                <w:rFonts w:ascii="黑体" w:eastAsia="黑体" w:hAnsi="黑体"/>
                <w:sz w:val="28"/>
                <w:szCs w:val="28"/>
              </w:rPr>
            </w:pPr>
            <w:r>
              <w:rPr>
                <w:rFonts w:ascii="黑体" w:eastAsia="黑体" w:hAnsi="黑体" w:hint="eastAsia"/>
                <w:sz w:val="28"/>
                <w:szCs w:val="28"/>
              </w:rPr>
              <w:t>具体考评</w:t>
            </w:r>
          </w:p>
        </w:tc>
        <w:tc>
          <w:tcPr>
            <w:tcW w:w="426" w:type="dxa"/>
          </w:tcPr>
          <w:p w:rsidR="00BD6471" w:rsidRPr="002A0C47" w:rsidRDefault="00BD6471" w:rsidP="00F6618C">
            <w:pPr>
              <w:pStyle w:val="ab"/>
              <w:spacing w:before="0" w:beforeAutospacing="0" w:after="0" w:afterAutospacing="0" w:line="200" w:lineRule="exact"/>
              <w:jc w:val="center"/>
              <w:rPr>
                <w:rFonts w:ascii="黑体" w:eastAsia="黑体" w:hAnsi="黑体"/>
                <w:sz w:val="21"/>
                <w:szCs w:val="28"/>
              </w:rPr>
            </w:pPr>
            <w:r w:rsidRPr="002A0C47">
              <w:rPr>
                <w:rFonts w:ascii="黑体" w:eastAsia="黑体" w:hAnsi="黑体" w:hint="eastAsia"/>
                <w:sz w:val="21"/>
                <w:szCs w:val="28"/>
              </w:rPr>
              <w:t>自评分</w:t>
            </w:r>
            <w:r>
              <w:rPr>
                <w:rFonts w:ascii="黑体" w:eastAsia="黑体" w:hAnsi="黑体" w:hint="eastAsia"/>
                <w:sz w:val="21"/>
                <w:szCs w:val="28"/>
              </w:rPr>
              <w:t>值</w:t>
            </w:r>
          </w:p>
        </w:tc>
        <w:tc>
          <w:tcPr>
            <w:tcW w:w="474" w:type="dxa"/>
          </w:tcPr>
          <w:p w:rsidR="00BD6471" w:rsidRPr="002A0C47" w:rsidRDefault="00BD6471" w:rsidP="00F6618C">
            <w:pPr>
              <w:pStyle w:val="ab"/>
              <w:spacing w:before="0" w:beforeAutospacing="0" w:after="0" w:afterAutospacing="0" w:line="200" w:lineRule="exact"/>
              <w:jc w:val="center"/>
              <w:rPr>
                <w:rFonts w:ascii="黑体" w:eastAsia="黑体" w:hAnsi="黑体"/>
                <w:sz w:val="21"/>
                <w:szCs w:val="28"/>
              </w:rPr>
            </w:pPr>
            <w:r w:rsidRPr="002A0C47">
              <w:rPr>
                <w:rFonts w:ascii="黑体" w:eastAsia="黑体" w:hAnsi="黑体" w:hint="eastAsia"/>
                <w:sz w:val="21"/>
                <w:szCs w:val="28"/>
              </w:rPr>
              <w:t>考评分</w:t>
            </w:r>
            <w:r>
              <w:rPr>
                <w:rFonts w:ascii="黑体" w:eastAsia="黑体" w:hAnsi="黑体" w:hint="eastAsia"/>
                <w:sz w:val="21"/>
                <w:szCs w:val="28"/>
              </w:rPr>
              <w:t>值</w:t>
            </w:r>
          </w:p>
        </w:tc>
      </w:tr>
      <w:tr w:rsidR="00BD6471" w:rsidTr="00F6618C">
        <w:trPr>
          <w:trHeight w:val="2689"/>
        </w:trPr>
        <w:tc>
          <w:tcPr>
            <w:tcW w:w="931" w:type="dxa"/>
            <w:vMerge w:val="restart"/>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尽职履职方面（50分）</w:t>
            </w:r>
          </w:p>
        </w:tc>
        <w:tc>
          <w:tcPr>
            <w:tcW w:w="113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sidRPr="00385655">
              <w:rPr>
                <w:rFonts w:ascii="仿宋_GB2312" w:hAnsi="仿宋" w:hint="eastAsia"/>
              </w:rPr>
              <w:t>日常坐班值班</w:t>
            </w:r>
            <w:r>
              <w:rPr>
                <w:rFonts w:ascii="仿宋_GB2312" w:hAnsi="仿宋" w:hint="eastAsia"/>
              </w:rPr>
              <w:t>（20分）</w:t>
            </w:r>
          </w:p>
        </w:tc>
        <w:tc>
          <w:tcPr>
            <w:tcW w:w="1559"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顾问单位指派本所1名执业年限不低于5年的律师，每周两</w:t>
            </w:r>
            <w:proofErr w:type="gramStart"/>
            <w:r>
              <w:rPr>
                <w:rFonts w:ascii="仿宋_GB2312" w:hAnsi="仿宋" w:hint="eastAsia"/>
              </w:rPr>
              <w:t>个</w:t>
            </w:r>
            <w:proofErr w:type="gramEnd"/>
            <w:r>
              <w:rPr>
                <w:rFonts w:ascii="仿宋_GB2312" w:hAnsi="仿宋" w:hint="eastAsia"/>
              </w:rPr>
              <w:t>半天到医院值班。</w:t>
            </w:r>
          </w:p>
        </w:tc>
        <w:tc>
          <w:tcPr>
            <w:tcW w:w="4536" w:type="dxa"/>
            <w:vAlign w:val="center"/>
          </w:tcPr>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1.无正当事由，未按法律顾问服务合同约定提供值班服务、现场服务的，一次扣1分，累计扣分不超过10分；</w:t>
            </w:r>
          </w:p>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2.未建立法律顾问工作档案、保存完整工作记录的，一次扣1分，累计扣分不超过10分；</w:t>
            </w:r>
          </w:p>
          <w:p w:rsidR="00BD6471" w:rsidRPr="00DD45C5"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3.未按时履行年度工作报告义务的，扣2分；报告内容质量较差的，扣1分。</w:t>
            </w:r>
          </w:p>
        </w:tc>
        <w:tc>
          <w:tcPr>
            <w:tcW w:w="426"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c>
          <w:tcPr>
            <w:tcW w:w="47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r>
      <w:tr w:rsidR="00BD6471" w:rsidTr="00F6618C">
        <w:trPr>
          <w:trHeight w:val="4670"/>
        </w:trPr>
        <w:tc>
          <w:tcPr>
            <w:tcW w:w="931" w:type="dxa"/>
            <w:vMerge/>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c>
          <w:tcPr>
            <w:tcW w:w="113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重大事项处理（20分）</w:t>
            </w:r>
          </w:p>
        </w:tc>
        <w:tc>
          <w:tcPr>
            <w:tcW w:w="1559"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为医院重大决策提供法律意见，为医院依法处理疑难信访案件提供法律意见，参与医院重要项目谈判、签约，为医院审查重大经济合同以及重要法律文书提供法律意见等。</w:t>
            </w:r>
          </w:p>
        </w:tc>
        <w:tc>
          <w:tcPr>
            <w:tcW w:w="4536" w:type="dxa"/>
            <w:vAlign w:val="center"/>
          </w:tcPr>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1.未按要求对医院依法处理相关涉法事务提供法律意见、法律咨询服务的，一次扣2分，累计扣分不超过10分；</w:t>
            </w:r>
          </w:p>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2.未按要求参与重大决策事项、重点建设项目、重点涉法问题的论证并提供建议的，一次扣2分，累计扣分不超过10分；</w:t>
            </w:r>
          </w:p>
          <w:p w:rsidR="00BD6471" w:rsidRPr="00322154"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3.未按要求参与重大疑难涉诉案件、信访案件、仲裁案件、社会公共事件、突发事件及遗留问题处置等的应对研究和处理的，一次扣2分，累计扣分不超过10分。</w:t>
            </w:r>
          </w:p>
        </w:tc>
        <w:tc>
          <w:tcPr>
            <w:tcW w:w="426"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c>
          <w:tcPr>
            <w:tcW w:w="47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r>
      <w:tr w:rsidR="00BD6471" w:rsidTr="00F6618C">
        <w:trPr>
          <w:trHeight w:val="2540"/>
        </w:trPr>
        <w:tc>
          <w:tcPr>
            <w:tcW w:w="931" w:type="dxa"/>
            <w:vMerge/>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c>
          <w:tcPr>
            <w:tcW w:w="1134" w:type="dxa"/>
            <w:vAlign w:val="center"/>
          </w:tcPr>
          <w:p w:rsidR="00BD6471"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其他</w:t>
            </w:r>
          </w:p>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（10分）</w:t>
            </w:r>
          </w:p>
        </w:tc>
        <w:tc>
          <w:tcPr>
            <w:tcW w:w="1559"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协助医院进行法治宣传教育、法律知识培训每年不少于2次，并有效办理委托的其他法律事务。</w:t>
            </w:r>
          </w:p>
        </w:tc>
        <w:tc>
          <w:tcPr>
            <w:tcW w:w="4536" w:type="dxa"/>
            <w:vAlign w:val="center"/>
          </w:tcPr>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1.未按要求参与法治宣传教育工作的，一次扣1分，累计扣分不超过10分；</w:t>
            </w:r>
          </w:p>
          <w:p w:rsidR="00BD6471" w:rsidRPr="00A10F86"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2.未按要求办理法律顾问服务范围内的其他法律事务，一件扣1分，累计扣分不超过10分。</w:t>
            </w:r>
          </w:p>
        </w:tc>
        <w:tc>
          <w:tcPr>
            <w:tcW w:w="426"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c>
          <w:tcPr>
            <w:tcW w:w="47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r>
      <w:tr w:rsidR="00BD6471" w:rsidTr="00F6618C">
        <w:trPr>
          <w:trHeight w:val="5092"/>
        </w:trPr>
        <w:tc>
          <w:tcPr>
            <w:tcW w:w="931"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lastRenderedPageBreak/>
              <w:t>服务质量方面（30分）</w:t>
            </w:r>
          </w:p>
        </w:tc>
        <w:tc>
          <w:tcPr>
            <w:tcW w:w="113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涉法事项审查（30分）</w:t>
            </w:r>
          </w:p>
        </w:tc>
        <w:tc>
          <w:tcPr>
            <w:tcW w:w="1559"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负责办理接收的法律事务，提供高效、优质的法律服务，并出具相关合法性审查意见及信访答复书等。</w:t>
            </w:r>
          </w:p>
        </w:tc>
        <w:tc>
          <w:tcPr>
            <w:tcW w:w="4536" w:type="dxa"/>
            <w:vAlign w:val="center"/>
          </w:tcPr>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1.未按要求参与重大项目的研究、论证、谈判和合同、协议的起草、签订等工作并提出书面法律意见或者法律意见不明确的，一次扣2分，累计扣分不超过10分；</w:t>
            </w:r>
          </w:p>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2.未按要求参与重要规范性文件的研究、论证并提出书面法律意见的或者法律意见不明确的，一次扣2分，累计扣分不超过10分；</w:t>
            </w:r>
          </w:p>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3.对医院交办审查的文本有明显的错、漏问题而未予以提示的，一件扣2分，累计扣分不超过10分；</w:t>
            </w:r>
          </w:p>
          <w:p w:rsidR="00BD6471" w:rsidRPr="00F0599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4.提供的法律意见、建议适用法律错误，或表述不清、逻辑混乱，或脱离实际、缺乏可行性的，每次扣1分，累计扣分不超过10分。</w:t>
            </w:r>
          </w:p>
        </w:tc>
        <w:tc>
          <w:tcPr>
            <w:tcW w:w="426"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c>
          <w:tcPr>
            <w:tcW w:w="47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r>
      <w:tr w:rsidR="00BD6471" w:rsidTr="00F6618C">
        <w:trPr>
          <w:trHeight w:val="3969"/>
        </w:trPr>
        <w:tc>
          <w:tcPr>
            <w:tcW w:w="931"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规范执业方面（20分）</w:t>
            </w:r>
          </w:p>
        </w:tc>
        <w:tc>
          <w:tcPr>
            <w:tcW w:w="113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依法谨慎执行（20分）</w:t>
            </w:r>
          </w:p>
        </w:tc>
        <w:tc>
          <w:tcPr>
            <w:tcW w:w="1559"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r>
              <w:rPr>
                <w:rFonts w:ascii="仿宋_GB2312" w:hAnsi="仿宋" w:hint="eastAsia"/>
              </w:rPr>
              <w:t>法律顾问应当严格遵守职业道德和执业纪律，提供规范化法律服务。</w:t>
            </w:r>
          </w:p>
        </w:tc>
        <w:tc>
          <w:tcPr>
            <w:tcW w:w="4536" w:type="dxa"/>
            <w:vAlign w:val="center"/>
          </w:tcPr>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1.顾问律师或所在律师事务所被投诉查实，受到行业处分或行政处罚的，每次扣2分，累计扣分不超过10分；</w:t>
            </w:r>
          </w:p>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2.未经同意，以医院法律顾问名义接受媒体采访的，每次扣1分，累计扣分不超过10分；</w:t>
            </w:r>
          </w:p>
          <w:p w:rsidR="00BD6471"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3.未经同意，泄露涉及医院未公开的法律服务内容的，每次扣1分，累计扣分不超过10分；</w:t>
            </w:r>
          </w:p>
          <w:p w:rsidR="00BD6471" w:rsidRPr="0064076C" w:rsidRDefault="00BD6471" w:rsidP="00F6618C">
            <w:pPr>
              <w:pStyle w:val="ab"/>
              <w:spacing w:before="0" w:beforeAutospacing="0" w:after="0" w:afterAutospacing="0" w:line="300" w:lineRule="exact"/>
              <w:rPr>
                <w:rFonts w:ascii="仿宋_GB2312" w:hAnsi="仿宋"/>
              </w:rPr>
            </w:pPr>
            <w:r>
              <w:rPr>
                <w:rFonts w:ascii="仿宋_GB2312" w:hAnsi="仿宋" w:hint="eastAsia"/>
              </w:rPr>
              <w:t xml:space="preserve">    4.同时接受与医院法律顾问服务内容相关的相对人的委托，为其提供法律服务的，一经核实，年度考核为不称职。</w:t>
            </w:r>
          </w:p>
        </w:tc>
        <w:tc>
          <w:tcPr>
            <w:tcW w:w="426" w:type="dxa"/>
            <w:vAlign w:val="center"/>
          </w:tcPr>
          <w:p w:rsidR="00BD6471" w:rsidRPr="00322154" w:rsidRDefault="00BD6471" w:rsidP="00F6618C">
            <w:pPr>
              <w:pStyle w:val="ab"/>
              <w:spacing w:before="0" w:beforeAutospacing="0" w:after="0" w:afterAutospacing="0" w:line="300" w:lineRule="exact"/>
              <w:jc w:val="center"/>
              <w:rPr>
                <w:rFonts w:ascii="仿宋_GB2312" w:hAnsi="仿宋"/>
              </w:rPr>
            </w:pPr>
          </w:p>
        </w:tc>
        <w:tc>
          <w:tcPr>
            <w:tcW w:w="474" w:type="dxa"/>
            <w:vAlign w:val="center"/>
          </w:tcPr>
          <w:p w:rsidR="00BD6471" w:rsidRPr="00385655" w:rsidRDefault="00BD6471" w:rsidP="00F6618C">
            <w:pPr>
              <w:pStyle w:val="ab"/>
              <w:spacing w:before="0" w:beforeAutospacing="0" w:after="0" w:afterAutospacing="0" w:line="300" w:lineRule="exact"/>
              <w:jc w:val="center"/>
              <w:rPr>
                <w:rFonts w:ascii="仿宋_GB2312" w:hAnsi="仿宋"/>
              </w:rPr>
            </w:pPr>
          </w:p>
        </w:tc>
      </w:tr>
      <w:tr w:rsidR="00BD6471" w:rsidTr="00F6618C">
        <w:trPr>
          <w:trHeight w:val="2051"/>
        </w:trPr>
        <w:tc>
          <w:tcPr>
            <w:tcW w:w="9060" w:type="dxa"/>
            <w:gridSpan w:val="6"/>
            <w:vAlign w:val="center"/>
          </w:tcPr>
          <w:p w:rsidR="00BD6471" w:rsidRPr="00763DF7" w:rsidRDefault="00BD6471" w:rsidP="00F6618C">
            <w:pPr>
              <w:pStyle w:val="ab"/>
              <w:spacing w:before="0" w:beforeAutospacing="0" w:after="0" w:afterAutospacing="0" w:line="300" w:lineRule="exact"/>
              <w:rPr>
                <w:rFonts w:ascii="仿宋_GB2312" w:hAnsi="仿宋"/>
                <w:szCs w:val="28"/>
              </w:rPr>
            </w:pPr>
            <w:r>
              <w:rPr>
                <w:rFonts w:ascii="仿宋_GB2312" w:hAnsi="仿宋" w:hint="eastAsia"/>
                <w:szCs w:val="28"/>
              </w:rPr>
              <w:t xml:space="preserve">    </w:t>
            </w:r>
            <w:r w:rsidRPr="00763DF7">
              <w:rPr>
                <w:rFonts w:ascii="仿宋_GB2312" w:hAnsi="仿宋" w:hint="eastAsia"/>
                <w:szCs w:val="28"/>
              </w:rPr>
              <w:t>年度工作考核结果作为</w:t>
            </w:r>
            <w:r>
              <w:rPr>
                <w:rFonts w:ascii="仿宋_GB2312" w:hAnsi="仿宋" w:hint="eastAsia"/>
              </w:rPr>
              <w:t>法律顾问</w:t>
            </w:r>
            <w:r w:rsidRPr="00763DF7">
              <w:rPr>
                <w:rFonts w:ascii="仿宋_GB2312" w:hAnsi="仿宋" w:hint="eastAsia"/>
                <w:szCs w:val="28"/>
              </w:rPr>
              <w:t>费用支付依据，考核分为“优秀”“称职”“基本称职”“不称职”四个等次：</w:t>
            </w:r>
          </w:p>
          <w:p w:rsidR="00BD6471" w:rsidRPr="00763DF7" w:rsidRDefault="00BD6471" w:rsidP="00F6618C">
            <w:pPr>
              <w:pStyle w:val="ab"/>
              <w:spacing w:before="0" w:beforeAutospacing="0" w:after="0" w:afterAutospacing="0" w:line="300" w:lineRule="exact"/>
              <w:rPr>
                <w:rFonts w:ascii="仿宋_GB2312" w:hAnsi="仿宋"/>
                <w:szCs w:val="28"/>
              </w:rPr>
            </w:pPr>
            <w:r>
              <w:rPr>
                <w:rFonts w:ascii="仿宋_GB2312" w:hAnsi="仿宋" w:hint="eastAsia"/>
                <w:szCs w:val="28"/>
              </w:rPr>
              <w:t xml:space="preserve">    </w:t>
            </w:r>
            <w:r w:rsidRPr="00763DF7">
              <w:rPr>
                <w:rFonts w:ascii="仿宋_GB2312" w:hAnsi="仿宋" w:hint="eastAsia"/>
                <w:szCs w:val="28"/>
              </w:rPr>
              <w:t>（一）考核得分80分以下为不称职，只支付</w:t>
            </w:r>
            <w:r>
              <w:rPr>
                <w:rFonts w:ascii="仿宋_GB2312" w:hAnsi="仿宋" w:hint="eastAsia"/>
                <w:szCs w:val="28"/>
              </w:rPr>
              <w:t>法律顾问费</w:t>
            </w:r>
            <w:r w:rsidRPr="00763DF7">
              <w:rPr>
                <w:rFonts w:ascii="仿宋_GB2312" w:hAnsi="仿宋" w:hint="eastAsia"/>
                <w:szCs w:val="28"/>
              </w:rPr>
              <w:t>中标金额的60%。</w:t>
            </w:r>
          </w:p>
          <w:p w:rsidR="00BD6471" w:rsidRPr="00763DF7" w:rsidRDefault="00BD6471" w:rsidP="00F6618C">
            <w:pPr>
              <w:pStyle w:val="ab"/>
              <w:spacing w:before="0" w:beforeAutospacing="0" w:after="0" w:afterAutospacing="0" w:line="300" w:lineRule="exact"/>
              <w:rPr>
                <w:rFonts w:ascii="仿宋_GB2312" w:hAnsi="仿宋"/>
                <w:szCs w:val="28"/>
              </w:rPr>
            </w:pPr>
            <w:r>
              <w:rPr>
                <w:rFonts w:ascii="仿宋_GB2312" w:hAnsi="仿宋" w:hint="eastAsia"/>
                <w:szCs w:val="28"/>
              </w:rPr>
              <w:t xml:space="preserve">    </w:t>
            </w:r>
            <w:r w:rsidRPr="00763DF7">
              <w:rPr>
                <w:rFonts w:ascii="仿宋_GB2312" w:hAnsi="仿宋" w:hint="eastAsia"/>
                <w:szCs w:val="28"/>
              </w:rPr>
              <w:t>（二）考核得分80-90分为基本称职，只支付</w:t>
            </w:r>
            <w:r>
              <w:rPr>
                <w:rFonts w:ascii="仿宋_GB2312" w:hAnsi="仿宋" w:hint="eastAsia"/>
                <w:szCs w:val="28"/>
              </w:rPr>
              <w:t>法律顾问费</w:t>
            </w:r>
            <w:r w:rsidRPr="00763DF7">
              <w:rPr>
                <w:rFonts w:ascii="仿宋_GB2312" w:hAnsi="仿宋" w:hint="eastAsia"/>
                <w:szCs w:val="28"/>
              </w:rPr>
              <w:t>中标金额的70%。</w:t>
            </w:r>
          </w:p>
          <w:p w:rsidR="00BD6471" w:rsidRPr="00763DF7" w:rsidRDefault="00BD6471" w:rsidP="00F6618C">
            <w:pPr>
              <w:pStyle w:val="ab"/>
              <w:spacing w:before="0" w:beforeAutospacing="0" w:after="0" w:afterAutospacing="0" w:line="300" w:lineRule="exact"/>
              <w:rPr>
                <w:rFonts w:ascii="仿宋_GB2312" w:hAnsi="仿宋"/>
                <w:szCs w:val="28"/>
              </w:rPr>
            </w:pPr>
            <w:r>
              <w:rPr>
                <w:rFonts w:ascii="仿宋_GB2312" w:hAnsi="仿宋" w:hint="eastAsia"/>
                <w:szCs w:val="28"/>
              </w:rPr>
              <w:t xml:space="preserve">    </w:t>
            </w:r>
            <w:r w:rsidRPr="00763DF7">
              <w:rPr>
                <w:rFonts w:ascii="仿宋_GB2312" w:hAnsi="仿宋" w:hint="eastAsia"/>
                <w:szCs w:val="28"/>
              </w:rPr>
              <w:t>（三）考核得分91-95分为称职，只支付</w:t>
            </w:r>
            <w:r>
              <w:rPr>
                <w:rFonts w:ascii="仿宋_GB2312" w:hAnsi="仿宋" w:hint="eastAsia"/>
                <w:szCs w:val="28"/>
              </w:rPr>
              <w:t>法律顾问费</w:t>
            </w:r>
            <w:r w:rsidRPr="00763DF7">
              <w:rPr>
                <w:rFonts w:ascii="仿宋_GB2312" w:hAnsi="仿宋" w:hint="eastAsia"/>
                <w:szCs w:val="28"/>
              </w:rPr>
              <w:t>中标金额的80%。</w:t>
            </w:r>
          </w:p>
          <w:p w:rsidR="00BD6471" w:rsidRPr="00385655" w:rsidRDefault="00BD6471" w:rsidP="00F6618C">
            <w:pPr>
              <w:pStyle w:val="ab"/>
              <w:spacing w:before="0" w:beforeAutospacing="0" w:after="0" w:afterAutospacing="0" w:line="300" w:lineRule="exact"/>
              <w:rPr>
                <w:rFonts w:ascii="仿宋_GB2312" w:hAnsi="仿宋"/>
              </w:rPr>
            </w:pPr>
            <w:r>
              <w:rPr>
                <w:rFonts w:ascii="仿宋_GB2312" w:hAnsi="仿宋" w:hint="eastAsia"/>
                <w:szCs w:val="28"/>
              </w:rPr>
              <w:t xml:space="preserve">    </w:t>
            </w:r>
            <w:r w:rsidRPr="00763DF7">
              <w:rPr>
                <w:rFonts w:ascii="仿宋_GB2312" w:hAnsi="仿宋" w:hint="eastAsia"/>
                <w:szCs w:val="28"/>
              </w:rPr>
              <w:t>（四）考核得分96分以上为优秀，只支付</w:t>
            </w:r>
            <w:r>
              <w:rPr>
                <w:rFonts w:ascii="仿宋_GB2312" w:hAnsi="仿宋" w:hint="eastAsia"/>
                <w:szCs w:val="28"/>
              </w:rPr>
              <w:t>法律顾问费</w:t>
            </w:r>
            <w:r w:rsidRPr="00763DF7">
              <w:rPr>
                <w:rFonts w:ascii="仿宋_GB2312" w:hAnsi="仿宋" w:hint="eastAsia"/>
                <w:szCs w:val="28"/>
              </w:rPr>
              <w:t>中标金额的100%。</w:t>
            </w:r>
          </w:p>
        </w:tc>
      </w:tr>
    </w:tbl>
    <w:p w:rsidR="00061409" w:rsidRPr="00BD6471" w:rsidRDefault="0099145E" w:rsidP="00BD6471">
      <w:pPr>
        <w:snapToGrid w:val="0"/>
        <w:spacing w:line="560" w:lineRule="exact"/>
        <w:ind w:firstLineChars="200" w:firstLine="640"/>
        <w:jc w:val="center"/>
      </w:pPr>
    </w:p>
    <w:sectPr w:rsidR="00061409" w:rsidRPr="00BD6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5E" w:rsidRDefault="0099145E" w:rsidP="00B51235">
      <w:r>
        <w:separator/>
      </w:r>
    </w:p>
  </w:endnote>
  <w:endnote w:type="continuationSeparator" w:id="0">
    <w:p w:rsidR="0099145E" w:rsidRDefault="0099145E" w:rsidP="00B5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5E" w:rsidRDefault="0099145E" w:rsidP="00B51235">
      <w:r>
        <w:separator/>
      </w:r>
    </w:p>
  </w:footnote>
  <w:footnote w:type="continuationSeparator" w:id="0">
    <w:p w:rsidR="0099145E" w:rsidRDefault="0099145E" w:rsidP="00B51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E6E"/>
    <w:multiLevelType w:val="hybridMultilevel"/>
    <w:tmpl w:val="D60ABDC0"/>
    <w:lvl w:ilvl="0" w:tplc="9A88F60C">
      <w:start w:val="1"/>
      <w:numFmt w:val="japaneseCounting"/>
      <w:lvlText w:val="（%1）"/>
      <w:lvlJc w:val="left"/>
      <w:pPr>
        <w:ind w:left="1707" w:hanging="1080"/>
      </w:pPr>
      <w:rPr>
        <w:rFonts w:ascii="仿宋_GB2312" w:eastAsia="仿宋_GB2312" w:hAnsi="黑体" w:hint="default"/>
        <w:sz w:val="32"/>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CC"/>
    <w:rsid w:val="000322F4"/>
    <w:rsid w:val="003D451E"/>
    <w:rsid w:val="003F47CC"/>
    <w:rsid w:val="00907E20"/>
    <w:rsid w:val="0099145E"/>
    <w:rsid w:val="00B51235"/>
    <w:rsid w:val="00BD6471"/>
    <w:rsid w:val="00C07818"/>
    <w:rsid w:val="00DC494C"/>
    <w:rsid w:val="00E7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qFormat="1"/>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1235"/>
    <w:pPr>
      <w:widowControl w:val="0"/>
      <w:jc w:val="both"/>
    </w:pPr>
    <w:rPr>
      <w:rFonts w:eastAsia="仿宋_GB2312"/>
      <w:kern w:val="2"/>
      <w:sz w:val="32"/>
      <w:szCs w:val="24"/>
    </w:rPr>
  </w:style>
  <w:style w:type="paragraph" w:styleId="1">
    <w:name w:val="heading 1"/>
    <w:basedOn w:val="a"/>
    <w:next w:val="a"/>
    <w:link w:val="1Char"/>
    <w:qFormat/>
    <w:rsid w:val="00907E20"/>
    <w:pPr>
      <w:keepNext/>
      <w:keepLines/>
      <w:spacing w:before="100" w:after="210" w:line="480" w:lineRule="auto"/>
      <w:jc w:val="center"/>
      <w:outlineLvl w:val="0"/>
    </w:pPr>
    <w:rPr>
      <w:rFonts w:asciiTheme="minorHAnsi" w:hAnsiTheme="minorHAnsi"/>
      <w:b/>
      <w:kern w:val="44"/>
    </w:rPr>
  </w:style>
  <w:style w:type="paragraph" w:styleId="2">
    <w:name w:val="heading 2"/>
    <w:basedOn w:val="a"/>
    <w:next w:val="a"/>
    <w:link w:val="2Char"/>
    <w:unhideWhenUsed/>
    <w:qFormat/>
    <w:rsid w:val="00907E20"/>
    <w:pPr>
      <w:keepNext/>
      <w:keepLines/>
      <w:spacing w:before="140" w:after="140" w:line="360" w:lineRule="auto"/>
      <w:outlineLvl w:val="1"/>
    </w:pPr>
    <w:rPr>
      <w:rFonts w:ascii="Arial" w:hAnsi="Arial"/>
      <w:b/>
      <w:sz w:val="30"/>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列出段落5"/>
    <w:basedOn w:val="a"/>
    <w:qFormat/>
    <w:rsid w:val="00907E20"/>
    <w:pPr>
      <w:ind w:firstLineChars="200" w:firstLine="420"/>
    </w:pPr>
    <w:rPr>
      <w:rFonts w:asciiTheme="minorHAnsi" w:eastAsiaTheme="minorEastAsia" w:hAnsiTheme="minorHAnsi" w:cstheme="minorBidi"/>
      <w:sz w:val="24"/>
    </w:rPr>
  </w:style>
  <w:style w:type="character" w:customStyle="1" w:styleId="16">
    <w:name w:val="16"/>
    <w:basedOn w:val="a1"/>
    <w:qFormat/>
    <w:rsid w:val="00907E20"/>
    <w:rPr>
      <w:rFonts w:ascii="Times New Roman" w:eastAsia="宋体" w:hAnsi="Times New Roman" w:cs="Times New Roman" w:hint="default"/>
      <w:sz w:val="24"/>
      <w:szCs w:val="24"/>
    </w:rPr>
  </w:style>
  <w:style w:type="paragraph" w:customStyle="1" w:styleId="a4">
    <w:name w:val="正文居中"/>
    <w:basedOn w:val="a"/>
    <w:next w:val="a"/>
    <w:qFormat/>
    <w:rsid w:val="00907E20"/>
    <w:pPr>
      <w:spacing w:line="273" w:lineRule="auto"/>
      <w:jc w:val="center"/>
    </w:pPr>
    <w:rPr>
      <w:rFonts w:ascii="宋体" w:hAnsi="宋体" w:cs="宋体"/>
    </w:rPr>
  </w:style>
  <w:style w:type="character" w:customStyle="1" w:styleId="font21">
    <w:name w:val="font21"/>
    <w:basedOn w:val="a1"/>
    <w:qFormat/>
    <w:rsid w:val="00907E20"/>
    <w:rPr>
      <w:rFonts w:ascii="Times New Roman" w:hAnsi="Times New Roman" w:cs="Times New Roman" w:hint="default"/>
      <w:color w:val="000000"/>
      <w:sz w:val="24"/>
      <w:szCs w:val="24"/>
      <w:u w:val="none"/>
    </w:rPr>
  </w:style>
  <w:style w:type="character" w:customStyle="1" w:styleId="font01">
    <w:name w:val="font01"/>
    <w:basedOn w:val="a1"/>
    <w:qFormat/>
    <w:rsid w:val="00907E20"/>
    <w:rPr>
      <w:rFonts w:ascii="宋体" w:eastAsia="宋体" w:hAnsi="宋体" w:cs="宋体" w:hint="eastAsia"/>
      <w:color w:val="000000"/>
      <w:sz w:val="24"/>
      <w:szCs w:val="24"/>
      <w:u w:val="none"/>
    </w:rPr>
  </w:style>
  <w:style w:type="paragraph" w:customStyle="1" w:styleId="10">
    <w:name w:val="列出段落1"/>
    <w:basedOn w:val="a"/>
    <w:link w:val="ListParagraphChar"/>
    <w:qFormat/>
    <w:rsid w:val="00907E20"/>
    <w:pPr>
      <w:widowControl/>
      <w:ind w:left="720" w:firstLine="360"/>
      <w:jc w:val="left"/>
    </w:pPr>
    <w:rPr>
      <w:rFonts w:ascii="Calibri" w:eastAsiaTheme="minorEastAsia" w:hAnsi="Calibri" w:cstheme="minorBidi"/>
      <w:kern w:val="0"/>
      <w:sz w:val="22"/>
      <w:szCs w:val="20"/>
      <w:lang w:eastAsia="en-US"/>
    </w:rPr>
  </w:style>
  <w:style w:type="paragraph" w:styleId="a0">
    <w:name w:val="Body Text"/>
    <w:basedOn w:val="a"/>
    <w:link w:val="Char"/>
    <w:uiPriority w:val="99"/>
    <w:qFormat/>
    <w:rsid w:val="00907E20"/>
  </w:style>
  <w:style w:type="character" w:customStyle="1" w:styleId="Char">
    <w:name w:val="正文文本 Char"/>
    <w:basedOn w:val="a1"/>
    <w:link w:val="a0"/>
    <w:uiPriority w:val="99"/>
    <w:rsid w:val="00907E20"/>
    <w:rPr>
      <w:kern w:val="2"/>
      <w:sz w:val="21"/>
      <w:szCs w:val="21"/>
    </w:rPr>
  </w:style>
  <w:style w:type="character" w:customStyle="1" w:styleId="1Char">
    <w:name w:val="标题 1 Char"/>
    <w:basedOn w:val="a1"/>
    <w:link w:val="1"/>
    <w:rsid w:val="00907E20"/>
    <w:rPr>
      <w:rFonts w:asciiTheme="minorHAnsi" w:hAnsiTheme="minorHAnsi"/>
      <w:b/>
      <w:kern w:val="44"/>
      <w:sz w:val="32"/>
      <w:szCs w:val="21"/>
    </w:rPr>
  </w:style>
  <w:style w:type="character" w:customStyle="1" w:styleId="2Char">
    <w:name w:val="标题 2 Char"/>
    <w:basedOn w:val="a1"/>
    <w:link w:val="2"/>
    <w:rsid w:val="00907E20"/>
    <w:rPr>
      <w:rFonts w:ascii="Arial" w:hAnsi="Arial"/>
      <w:b/>
      <w:kern w:val="2"/>
      <w:sz w:val="30"/>
      <w:szCs w:val="21"/>
    </w:rPr>
  </w:style>
  <w:style w:type="character" w:customStyle="1" w:styleId="3Char">
    <w:name w:val="标题 3 Char"/>
    <w:basedOn w:val="a1"/>
    <w:link w:val="3"/>
    <w:uiPriority w:val="99"/>
    <w:rsid w:val="00907E20"/>
    <w:rPr>
      <w:rFonts w:ascii="Arial" w:eastAsia="黑体" w:hAnsi="Arial" w:cs="Arial"/>
      <w:kern w:val="2"/>
      <w:sz w:val="21"/>
      <w:szCs w:val="24"/>
    </w:rPr>
  </w:style>
  <w:style w:type="character" w:customStyle="1" w:styleId="4Char">
    <w:name w:val="标题 4 Char"/>
    <w:basedOn w:val="a1"/>
    <w:link w:val="4"/>
    <w:uiPriority w:val="99"/>
    <w:rsid w:val="00907E20"/>
    <w:rPr>
      <w:rFonts w:asciiTheme="majorHAnsi" w:eastAsiaTheme="majorEastAsia" w:hAnsiTheme="majorHAnsi" w:cstheme="majorHAnsi"/>
      <w:kern w:val="2"/>
      <w:sz w:val="21"/>
      <w:szCs w:val="24"/>
    </w:rPr>
  </w:style>
  <w:style w:type="paragraph" w:styleId="a5">
    <w:name w:val="Normal Indent"/>
    <w:basedOn w:val="a"/>
    <w:uiPriority w:val="99"/>
    <w:qFormat/>
    <w:rsid w:val="00907E20"/>
    <w:pPr>
      <w:ind w:firstLine="420"/>
    </w:pPr>
    <w:rPr>
      <w:rFonts w:ascii="Calibri" w:hAnsi="Calibri"/>
    </w:rPr>
  </w:style>
  <w:style w:type="paragraph" w:styleId="a6">
    <w:name w:val="header"/>
    <w:basedOn w:val="a"/>
    <w:link w:val="Char0"/>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6"/>
    <w:rsid w:val="00907E20"/>
    <w:rPr>
      <w:kern w:val="2"/>
      <w:sz w:val="18"/>
      <w:szCs w:val="21"/>
    </w:rPr>
  </w:style>
  <w:style w:type="paragraph" w:styleId="a7">
    <w:name w:val="footer"/>
    <w:basedOn w:val="a"/>
    <w:link w:val="Char1"/>
    <w:qFormat/>
    <w:rsid w:val="00907E20"/>
    <w:pPr>
      <w:tabs>
        <w:tab w:val="center" w:pos="4153"/>
        <w:tab w:val="right" w:pos="8306"/>
      </w:tabs>
      <w:snapToGrid w:val="0"/>
      <w:jc w:val="left"/>
    </w:pPr>
    <w:rPr>
      <w:sz w:val="18"/>
    </w:rPr>
  </w:style>
  <w:style w:type="character" w:customStyle="1" w:styleId="Char1">
    <w:name w:val="页脚 Char"/>
    <w:basedOn w:val="a1"/>
    <w:link w:val="a7"/>
    <w:rsid w:val="00907E20"/>
    <w:rPr>
      <w:kern w:val="2"/>
      <w:sz w:val="18"/>
      <w:szCs w:val="21"/>
    </w:rPr>
  </w:style>
  <w:style w:type="character" w:styleId="a8">
    <w:name w:val="Hyperlink"/>
    <w:basedOn w:val="a1"/>
    <w:uiPriority w:val="99"/>
    <w:qFormat/>
    <w:rsid w:val="00907E20"/>
    <w:rPr>
      <w:color w:val="0563C1" w:themeColor="hyperlink"/>
      <w:u w:val="single"/>
    </w:rPr>
  </w:style>
  <w:style w:type="paragraph" w:styleId="a9">
    <w:name w:val="Plain Text"/>
    <w:basedOn w:val="a"/>
    <w:link w:val="Char2"/>
    <w:uiPriority w:val="99"/>
    <w:qFormat/>
    <w:rsid w:val="00907E20"/>
    <w:rPr>
      <w:rFonts w:ascii="宋体" w:hAnsi="Calibri"/>
    </w:rPr>
  </w:style>
  <w:style w:type="character" w:customStyle="1" w:styleId="Char2">
    <w:name w:val="纯文本 Char"/>
    <w:basedOn w:val="a1"/>
    <w:link w:val="a9"/>
    <w:uiPriority w:val="99"/>
    <w:rsid w:val="00907E20"/>
    <w:rPr>
      <w:rFonts w:ascii="宋体" w:hAnsi="Calibri"/>
      <w:kern w:val="2"/>
      <w:sz w:val="21"/>
      <w:szCs w:val="21"/>
    </w:rPr>
  </w:style>
  <w:style w:type="paragraph" w:styleId="aa">
    <w:name w:val="List Paragraph"/>
    <w:aliases w:val="编号,列出段落12,lp1,Bullet Number,符号列表,List,List1,List11,List111,List1111,List11111,List111111,List1111111,List11111111,List111111111,List1111111111,List11111111111,List111111111111,List1111111111111,List11111111111111,列表1"/>
    <w:basedOn w:val="a"/>
    <w:link w:val="Char3"/>
    <w:uiPriority w:val="34"/>
    <w:qFormat/>
    <w:rsid w:val="00907E20"/>
    <w:pPr>
      <w:ind w:firstLineChars="200" w:firstLine="420"/>
    </w:pPr>
  </w:style>
  <w:style w:type="character" w:customStyle="1" w:styleId="Char3">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a"/>
    <w:uiPriority w:val="34"/>
    <w:locked/>
    <w:rsid w:val="00B51235"/>
    <w:rPr>
      <w:kern w:val="2"/>
      <w:sz w:val="21"/>
      <w:szCs w:val="21"/>
    </w:rPr>
  </w:style>
  <w:style w:type="character" w:customStyle="1" w:styleId="ListParagraphChar">
    <w:name w:val="List Paragraph Char"/>
    <w:link w:val="10"/>
    <w:locked/>
    <w:rsid w:val="00B51235"/>
    <w:rPr>
      <w:rFonts w:ascii="Calibri" w:eastAsiaTheme="minorEastAsia" w:hAnsi="Calibri" w:cstheme="minorBidi"/>
      <w:sz w:val="22"/>
      <w:lang w:eastAsia="en-US"/>
    </w:rPr>
  </w:style>
  <w:style w:type="paragraph" w:styleId="ab">
    <w:name w:val="Normal (Web)"/>
    <w:basedOn w:val="a"/>
    <w:rsid w:val="00BD6471"/>
    <w:pPr>
      <w:spacing w:before="100" w:beforeAutospacing="1" w:after="100" w:afterAutospacing="1"/>
      <w:jc w:val="left"/>
    </w:pPr>
    <w:rPr>
      <w:kern w:val="0"/>
      <w:sz w:val="24"/>
    </w:rPr>
  </w:style>
  <w:style w:type="table" w:styleId="ac">
    <w:name w:val="Table Grid"/>
    <w:basedOn w:val="a2"/>
    <w:rsid w:val="00BD64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qFormat="1"/>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1235"/>
    <w:pPr>
      <w:widowControl w:val="0"/>
      <w:jc w:val="both"/>
    </w:pPr>
    <w:rPr>
      <w:rFonts w:eastAsia="仿宋_GB2312"/>
      <w:kern w:val="2"/>
      <w:sz w:val="32"/>
      <w:szCs w:val="24"/>
    </w:rPr>
  </w:style>
  <w:style w:type="paragraph" w:styleId="1">
    <w:name w:val="heading 1"/>
    <w:basedOn w:val="a"/>
    <w:next w:val="a"/>
    <w:link w:val="1Char"/>
    <w:qFormat/>
    <w:rsid w:val="00907E20"/>
    <w:pPr>
      <w:keepNext/>
      <w:keepLines/>
      <w:spacing w:before="100" w:after="210" w:line="480" w:lineRule="auto"/>
      <w:jc w:val="center"/>
      <w:outlineLvl w:val="0"/>
    </w:pPr>
    <w:rPr>
      <w:rFonts w:asciiTheme="minorHAnsi" w:hAnsiTheme="minorHAnsi"/>
      <w:b/>
      <w:kern w:val="44"/>
    </w:rPr>
  </w:style>
  <w:style w:type="paragraph" w:styleId="2">
    <w:name w:val="heading 2"/>
    <w:basedOn w:val="a"/>
    <w:next w:val="a"/>
    <w:link w:val="2Char"/>
    <w:unhideWhenUsed/>
    <w:qFormat/>
    <w:rsid w:val="00907E20"/>
    <w:pPr>
      <w:keepNext/>
      <w:keepLines/>
      <w:spacing w:before="140" w:after="140" w:line="360" w:lineRule="auto"/>
      <w:outlineLvl w:val="1"/>
    </w:pPr>
    <w:rPr>
      <w:rFonts w:ascii="Arial" w:hAnsi="Arial"/>
      <w:b/>
      <w:sz w:val="30"/>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列出段落5"/>
    <w:basedOn w:val="a"/>
    <w:qFormat/>
    <w:rsid w:val="00907E20"/>
    <w:pPr>
      <w:ind w:firstLineChars="200" w:firstLine="420"/>
    </w:pPr>
    <w:rPr>
      <w:rFonts w:asciiTheme="minorHAnsi" w:eastAsiaTheme="minorEastAsia" w:hAnsiTheme="minorHAnsi" w:cstheme="minorBidi"/>
      <w:sz w:val="24"/>
    </w:rPr>
  </w:style>
  <w:style w:type="character" w:customStyle="1" w:styleId="16">
    <w:name w:val="16"/>
    <w:basedOn w:val="a1"/>
    <w:qFormat/>
    <w:rsid w:val="00907E20"/>
    <w:rPr>
      <w:rFonts w:ascii="Times New Roman" w:eastAsia="宋体" w:hAnsi="Times New Roman" w:cs="Times New Roman" w:hint="default"/>
      <w:sz w:val="24"/>
      <w:szCs w:val="24"/>
    </w:rPr>
  </w:style>
  <w:style w:type="paragraph" w:customStyle="1" w:styleId="a4">
    <w:name w:val="正文居中"/>
    <w:basedOn w:val="a"/>
    <w:next w:val="a"/>
    <w:qFormat/>
    <w:rsid w:val="00907E20"/>
    <w:pPr>
      <w:spacing w:line="273" w:lineRule="auto"/>
      <w:jc w:val="center"/>
    </w:pPr>
    <w:rPr>
      <w:rFonts w:ascii="宋体" w:hAnsi="宋体" w:cs="宋体"/>
    </w:rPr>
  </w:style>
  <w:style w:type="character" w:customStyle="1" w:styleId="font21">
    <w:name w:val="font21"/>
    <w:basedOn w:val="a1"/>
    <w:qFormat/>
    <w:rsid w:val="00907E20"/>
    <w:rPr>
      <w:rFonts w:ascii="Times New Roman" w:hAnsi="Times New Roman" w:cs="Times New Roman" w:hint="default"/>
      <w:color w:val="000000"/>
      <w:sz w:val="24"/>
      <w:szCs w:val="24"/>
      <w:u w:val="none"/>
    </w:rPr>
  </w:style>
  <w:style w:type="character" w:customStyle="1" w:styleId="font01">
    <w:name w:val="font01"/>
    <w:basedOn w:val="a1"/>
    <w:qFormat/>
    <w:rsid w:val="00907E20"/>
    <w:rPr>
      <w:rFonts w:ascii="宋体" w:eastAsia="宋体" w:hAnsi="宋体" w:cs="宋体" w:hint="eastAsia"/>
      <w:color w:val="000000"/>
      <w:sz w:val="24"/>
      <w:szCs w:val="24"/>
      <w:u w:val="none"/>
    </w:rPr>
  </w:style>
  <w:style w:type="paragraph" w:customStyle="1" w:styleId="10">
    <w:name w:val="列出段落1"/>
    <w:basedOn w:val="a"/>
    <w:link w:val="ListParagraphChar"/>
    <w:qFormat/>
    <w:rsid w:val="00907E20"/>
    <w:pPr>
      <w:widowControl/>
      <w:ind w:left="720" w:firstLine="360"/>
      <w:jc w:val="left"/>
    </w:pPr>
    <w:rPr>
      <w:rFonts w:ascii="Calibri" w:eastAsiaTheme="minorEastAsia" w:hAnsi="Calibri" w:cstheme="minorBidi"/>
      <w:kern w:val="0"/>
      <w:sz w:val="22"/>
      <w:szCs w:val="20"/>
      <w:lang w:eastAsia="en-US"/>
    </w:rPr>
  </w:style>
  <w:style w:type="paragraph" w:styleId="a0">
    <w:name w:val="Body Text"/>
    <w:basedOn w:val="a"/>
    <w:link w:val="Char"/>
    <w:uiPriority w:val="99"/>
    <w:qFormat/>
    <w:rsid w:val="00907E20"/>
  </w:style>
  <w:style w:type="character" w:customStyle="1" w:styleId="Char">
    <w:name w:val="正文文本 Char"/>
    <w:basedOn w:val="a1"/>
    <w:link w:val="a0"/>
    <w:uiPriority w:val="99"/>
    <w:rsid w:val="00907E20"/>
    <w:rPr>
      <w:kern w:val="2"/>
      <w:sz w:val="21"/>
      <w:szCs w:val="21"/>
    </w:rPr>
  </w:style>
  <w:style w:type="character" w:customStyle="1" w:styleId="1Char">
    <w:name w:val="标题 1 Char"/>
    <w:basedOn w:val="a1"/>
    <w:link w:val="1"/>
    <w:rsid w:val="00907E20"/>
    <w:rPr>
      <w:rFonts w:asciiTheme="minorHAnsi" w:hAnsiTheme="minorHAnsi"/>
      <w:b/>
      <w:kern w:val="44"/>
      <w:sz w:val="32"/>
      <w:szCs w:val="21"/>
    </w:rPr>
  </w:style>
  <w:style w:type="character" w:customStyle="1" w:styleId="2Char">
    <w:name w:val="标题 2 Char"/>
    <w:basedOn w:val="a1"/>
    <w:link w:val="2"/>
    <w:rsid w:val="00907E20"/>
    <w:rPr>
      <w:rFonts w:ascii="Arial" w:hAnsi="Arial"/>
      <w:b/>
      <w:kern w:val="2"/>
      <w:sz w:val="30"/>
      <w:szCs w:val="21"/>
    </w:rPr>
  </w:style>
  <w:style w:type="character" w:customStyle="1" w:styleId="3Char">
    <w:name w:val="标题 3 Char"/>
    <w:basedOn w:val="a1"/>
    <w:link w:val="3"/>
    <w:uiPriority w:val="99"/>
    <w:rsid w:val="00907E20"/>
    <w:rPr>
      <w:rFonts w:ascii="Arial" w:eastAsia="黑体" w:hAnsi="Arial" w:cs="Arial"/>
      <w:kern w:val="2"/>
      <w:sz w:val="21"/>
      <w:szCs w:val="24"/>
    </w:rPr>
  </w:style>
  <w:style w:type="character" w:customStyle="1" w:styleId="4Char">
    <w:name w:val="标题 4 Char"/>
    <w:basedOn w:val="a1"/>
    <w:link w:val="4"/>
    <w:uiPriority w:val="99"/>
    <w:rsid w:val="00907E20"/>
    <w:rPr>
      <w:rFonts w:asciiTheme="majorHAnsi" w:eastAsiaTheme="majorEastAsia" w:hAnsiTheme="majorHAnsi" w:cstheme="majorHAnsi"/>
      <w:kern w:val="2"/>
      <w:sz w:val="21"/>
      <w:szCs w:val="24"/>
    </w:rPr>
  </w:style>
  <w:style w:type="paragraph" w:styleId="a5">
    <w:name w:val="Normal Indent"/>
    <w:basedOn w:val="a"/>
    <w:uiPriority w:val="99"/>
    <w:qFormat/>
    <w:rsid w:val="00907E20"/>
    <w:pPr>
      <w:ind w:firstLine="420"/>
    </w:pPr>
    <w:rPr>
      <w:rFonts w:ascii="Calibri" w:hAnsi="Calibri"/>
    </w:rPr>
  </w:style>
  <w:style w:type="paragraph" w:styleId="a6">
    <w:name w:val="header"/>
    <w:basedOn w:val="a"/>
    <w:link w:val="Char0"/>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6"/>
    <w:rsid w:val="00907E20"/>
    <w:rPr>
      <w:kern w:val="2"/>
      <w:sz w:val="18"/>
      <w:szCs w:val="21"/>
    </w:rPr>
  </w:style>
  <w:style w:type="paragraph" w:styleId="a7">
    <w:name w:val="footer"/>
    <w:basedOn w:val="a"/>
    <w:link w:val="Char1"/>
    <w:qFormat/>
    <w:rsid w:val="00907E20"/>
    <w:pPr>
      <w:tabs>
        <w:tab w:val="center" w:pos="4153"/>
        <w:tab w:val="right" w:pos="8306"/>
      </w:tabs>
      <w:snapToGrid w:val="0"/>
      <w:jc w:val="left"/>
    </w:pPr>
    <w:rPr>
      <w:sz w:val="18"/>
    </w:rPr>
  </w:style>
  <w:style w:type="character" w:customStyle="1" w:styleId="Char1">
    <w:name w:val="页脚 Char"/>
    <w:basedOn w:val="a1"/>
    <w:link w:val="a7"/>
    <w:rsid w:val="00907E20"/>
    <w:rPr>
      <w:kern w:val="2"/>
      <w:sz w:val="18"/>
      <w:szCs w:val="21"/>
    </w:rPr>
  </w:style>
  <w:style w:type="character" w:styleId="a8">
    <w:name w:val="Hyperlink"/>
    <w:basedOn w:val="a1"/>
    <w:uiPriority w:val="99"/>
    <w:qFormat/>
    <w:rsid w:val="00907E20"/>
    <w:rPr>
      <w:color w:val="0563C1" w:themeColor="hyperlink"/>
      <w:u w:val="single"/>
    </w:rPr>
  </w:style>
  <w:style w:type="paragraph" w:styleId="a9">
    <w:name w:val="Plain Text"/>
    <w:basedOn w:val="a"/>
    <w:link w:val="Char2"/>
    <w:uiPriority w:val="99"/>
    <w:qFormat/>
    <w:rsid w:val="00907E20"/>
    <w:rPr>
      <w:rFonts w:ascii="宋体" w:hAnsi="Calibri"/>
    </w:rPr>
  </w:style>
  <w:style w:type="character" w:customStyle="1" w:styleId="Char2">
    <w:name w:val="纯文本 Char"/>
    <w:basedOn w:val="a1"/>
    <w:link w:val="a9"/>
    <w:uiPriority w:val="99"/>
    <w:rsid w:val="00907E20"/>
    <w:rPr>
      <w:rFonts w:ascii="宋体" w:hAnsi="Calibri"/>
      <w:kern w:val="2"/>
      <w:sz w:val="21"/>
      <w:szCs w:val="21"/>
    </w:rPr>
  </w:style>
  <w:style w:type="paragraph" w:styleId="aa">
    <w:name w:val="List Paragraph"/>
    <w:aliases w:val="编号,列出段落12,lp1,Bullet Number,符号列表,List,List1,List11,List111,List1111,List11111,List111111,List1111111,List11111111,List111111111,List1111111111,List11111111111,List111111111111,List1111111111111,List11111111111111,列表1"/>
    <w:basedOn w:val="a"/>
    <w:link w:val="Char3"/>
    <w:uiPriority w:val="34"/>
    <w:qFormat/>
    <w:rsid w:val="00907E20"/>
    <w:pPr>
      <w:ind w:firstLineChars="200" w:firstLine="420"/>
    </w:pPr>
  </w:style>
  <w:style w:type="character" w:customStyle="1" w:styleId="Char3">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a"/>
    <w:uiPriority w:val="34"/>
    <w:locked/>
    <w:rsid w:val="00B51235"/>
    <w:rPr>
      <w:kern w:val="2"/>
      <w:sz w:val="21"/>
      <w:szCs w:val="21"/>
    </w:rPr>
  </w:style>
  <w:style w:type="character" w:customStyle="1" w:styleId="ListParagraphChar">
    <w:name w:val="List Paragraph Char"/>
    <w:link w:val="10"/>
    <w:locked/>
    <w:rsid w:val="00B51235"/>
    <w:rPr>
      <w:rFonts w:ascii="Calibri" w:eastAsiaTheme="minorEastAsia" w:hAnsi="Calibri" w:cstheme="minorBidi"/>
      <w:sz w:val="22"/>
      <w:lang w:eastAsia="en-US"/>
    </w:rPr>
  </w:style>
  <w:style w:type="paragraph" w:styleId="ab">
    <w:name w:val="Normal (Web)"/>
    <w:basedOn w:val="a"/>
    <w:rsid w:val="00BD6471"/>
    <w:pPr>
      <w:spacing w:before="100" w:beforeAutospacing="1" w:after="100" w:afterAutospacing="1"/>
      <w:jc w:val="left"/>
    </w:pPr>
    <w:rPr>
      <w:kern w:val="0"/>
      <w:sz w:val="24"/>
    </w:rPr>
  </w:style>
  <w:style w:type="table" w:styleId="ac">
    <w:name w:val="Table Grid"/>
    <w:basedOn w:val="a2"/>
    <w:rsid w:val="00BD64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450</Words>
  <Characters>2571</Characters>
  <Application>Microsoft Office Word</Application>
  <DocSecurity>0</DocSecurity>
  <Lines>21</Lines>
  <Paragraphs>6</Paragraphs>
  <ScaleCrop>false</ScaleCrop>
  <Company>MS</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2023-10-26T08:21:00Z</dcterms:created>
  <dcterms:modified xsi:type="dcterms:W3CDTF">2023-10-31T01:40:00Z</dcterms:modified>
</cp:coreProperties>
</file>