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ascii="方正小标宋简体" w:hAnsi="宋体" w:eastAsia="方正小标宋简体"/>
          <w:sz w:val="44"/>
          <w:szCs w:val="48"/>
        </w:rPr>
        <w:t>4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ascii="方正小标宋简体" w:hAnsi="宋体" w:eastAsia="方正小标宋简体"/>
          <w:sz w:val="44"/>
          <w:szCs w:val="48"/>
        </w:rPr>
        <w:t xml:space="preserve"> </w:t>
      </w:r>
      <w:r>
        <w:rPr>
          <w:rFonts w:hint="eastAsia" w:ascii="方正小标宋简体" w:hAnsi="宋体" w:eastAsia="方正小标宋简体"/>
          <w:sz w:val="44"/>
          <w:szCs w:val="48"/>
        </w:rPr>
        <w:t>连续性血液净化设备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用于CVVH、CVVHD、CVVHDF、TPE、SCUF、HP ，具有成人和儿童治疗模式；设备能在海拔4300m以上正常工作。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★3.1屏幕显示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中文操作界面，图文显示操作指引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●3.2抗凝方式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设备一体化自动完成（枸橼酸抗凝、肝素抗凝及枸橼酸＋肝素联合抗凝方式）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●3.3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泵数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≥7个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★3.4加热方式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设备一体式加温设计，通过置换液加温（非血液）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3.5检测功能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具备，包括超声气泡检测，可以自动去除治疗过程中置换液内的气泡，避免凝血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3.6置换液加温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35-39℃，调节步长≤0.5℃，报警范围可调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3.7再循环功能：具备，可保证在病人长时间脱机或转移后使用同一套管路恢复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●3.8肾剂量计算器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具备肾剂量计算器，无需人工计算肾剂量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3.9报警及安全指标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具备设备监测指标异常、设备故障、必要提示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声光报警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★3.10耗材安装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一体化管路（非组合安装），管路滤器可拆分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3.11压力检测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3.11.1压力检测项目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可检测动脉压力、静脉压力、滤器前压力、滤出液压力、跨膜压、滤器下降压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3.11.2动脉压检测范围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(-250mmHg至+300mmHg)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3.11.3静脉压检测范围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(-80mmHg至+300mmHg)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3.11.4滤器前压力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(-400mmHg至+450mmHg)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3.11.5滤过液压力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(-50mmHg至+500mmHg)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3.12流量范围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3.12.1血流速度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≥（10～+400）ml/min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★3.12.2置换液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≥（0～+7000）ml/h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3.12.3透析液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≥（0～+7000）ml/h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★3.13秤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≥2个挂秤，挂置换液秤和废液秤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★3.14肝素泵抗凝模式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具备，连续模式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≤（0.5～15）ml/h 可调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精度±0.2ml/h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3.15可以调阅及下载病人治疗数据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具备可以调阅及下载病人治疗数据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一体化主机1套，防尘罩1个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</w:rPr>
        <w:t>自货物验收合格之日</w:t>
      </w:r>
      <w:r>
        <w:rPr>
          <w:rFonts w:hint="eastAsia" w:ascii="仿宋_GB2312" w:eastAsia="仿宋_GB2312"/>
          <w:sz w:val="32"/>
          <w:szCs w:val="32"/>
          <w:u w:val="none" w:color="auto"/>
        </w:rPr>
        <w:t>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907AC"/>
    <w:rsid w:val="007A69DF"/>
    <w:rsid w:val="007D1CBC"/>
    <w:rsid w:val="0086267D"/>
    <w:rsid w:val="008902C2"/>
    <w:rsid w:val="008B05C0"/>
    <w:rsid w:val="00996E29"/>
    <w:rsid w:val="00A3195B"/>
    <w:rsid w:val="00A5551A"/>
    <w:rsid w:val="00A96D09"/>
    <w:rsid w:val="00B107F1"/>
    <w:rsid w:val="00B4412F"/>
    <w:rsid w:val="00B67A23"/>
    <w:rsid w:val="00C10DD8"/>
    <w:rsid w:val="00CB5073"/>
    <w:rsid w:val="00CC41E9"/>
    <w:rsid w:val="00D03B89"/>
    <w:rsid w:val="00D357EA"/>
    <w:rsid w:val="00D637ED"/>
    <w:rsid w:val="00E258C1"/>
    <w:rsid w:val="00E46AFB"/>
    <w:rsid w:val="00E5689D"/>
    <w:rsid w:val="00E6672D"/>
    <w:rsid w:val="00EB736C"/>
    <w:rsid w:val="00F56548"/>
    <w:rsid w:val="06AC021E"/>
    <w:rsid w:val="0A7E115C"/>
    <w:rsid w:val="23F123F5"/>
    <w:rsid w:val="49C66A68"/>
    <w:rsid w:val="6B707E3B"/>
    <w:rsid w:val="74A0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199</Words>
  <Characters>1140</Characters>
  <Lines>9</Lines>
  <Paragraphs>2</Paragraphs>
  <TotalTime>4</TotalTime>
  <ScaleCrop>false</ScaleCrop>
  <LinksUpToDate>false</LinksUpToDate>
  <CharactersWithSpaces>1337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2023-11-08T01:45:21Z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